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C89DB">
      <w:pPr>
        <w:rPr>
          <w:rFonts w:hint="eastAsia" w:ascii="黑体" w:hAnsi="黑体" w:eastAsia="黑体"/>
          <w:sz w:val="32"/>
          <w:szCs w:val="32"/>
        </w:rPr>
      </w:pPr>
    </w:p>
    <w:p w14:paraId="76816D53">
      <w:pPr>
        <w:jc w:val="center"/>
        <w:rPr>
          <w:rFonts w:hint="eastAsia" w:ascii="方正小标宋_GBK" w:hAnsi="宋体" w:eastAsia="方正小标宋_GBK"/>
          <w:sz w:val="44"/>
          <w:szCs w:val="44"/>
        </w:rPr>
      </w:pPr>
    </w:p>
    <w:p w14:paraId="5E4BF00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中共木垒哈萨克自治县委员会老干部局</w:t>
      </w:r>
    </w:p>
    <w:p w14:paraId="2244258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B60252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27E07BC">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7FB847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715F33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02170D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DF2770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9CCB3E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D1EDB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3CCCA9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283BA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28DDF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7C7FE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E7849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79B47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B1DFC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869DEF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09B0C1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72A77F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349E4E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4DF358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21469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42268AA">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7163A2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AC2599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CF2D0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A2C8A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9BEF4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DB436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5A3F60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E2150F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F2AF9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EB0B10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B853EB9">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1C43AD7">
      <w:r>
        <w:rPr>
          <w:rFonts w:hint="eastAsia" w:ascii="仿宋_GB2312" w:hAnsi="仿宋_GB2312" w:eastAsia="仿宋_GB2312" w:cs="仿宋_GB2312"/>
          <w:sz w:val="32"/>
          <w:szCs w:val="32"/>
        </w:rPr>
        <w:fldChar w:fldCharType="end"/>
      </w:r>
    </w:p>
    <w:p w14:paraId="201218DB">
      <w:pPr>
        <w:rPr>
          <w:rFonts w:ascii="仿宋_GB2312" w:eastAsia="仿宋_GB2312"/>
          <w:sz w:val="32"/>
          <w:szCs w:val="32"/>
        </w:rPr>
      </w:pPr>
      <w:r>
        <w:rPr>
          <w:rFonts w:hint="eastAsia" w:ascii="仿宋_GB2312" w:eastAsia="仿宋_GB2312"/>
          <w:sz w:val="32"/>
          <w:szCs w:val="32"/>
        </w:rPr>
        <w:br w:type="page"/>
      </w:r>
    </w:p>
    <w:p w14:paraId="71505FB9">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33753811">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32F4A165">
      <w:pPr>
        <w:ind w:firstLine="640" w:firstLineChars="200"/>
        <w:jc w:val="left"/>
        <w:rPr>
          <w:rFonts w:ascii="仿宋_GB2312" w:eastAsia="仿宋_GB2312"/>
          <w:sz w:val="32"/>
          <w:szCs w:val="32"/>
        </w:rPr>
      </w:pPr>
      <w:r>
        <w:rPr>
          <w:rFonts w:hint="eastAsia" w:ascii="仿宋_GB2312" w:eastAsia="仿宋_GB2312"/>
          <w:sz w:val="32"/>
          <w:szCs w:val="32"/>
        </w:rPr>
        <w:t>（1）贯彻落实党中央、国务院关于离退休干部工作的方针、政策；了解掌握自治县老干部工作的基本情况；及时向县委反映主要问题和提出建议，参与制订自治县老干部工作的政策、规定。</w:t>
      </w:r>
    </w:p>
    <w:p w14:paraId="6DE06286">
      <w:pPr>
        <w:ind w:firstLine="640" w:firstLineChars="200"/>
        <w:jc w:val="left"/>
        <w:rPr>
          <w:rFonts w:ascii="仿宋_GB2312" w:eastAsia="仿宋_GB2312"/>
          <w:sz w:val="32"/>
          <w:szCs w:val="32"/>
        </w:rPr>
      </w:pPr>
      <w:r>
        <w:rPr>
          <w:rFonts w:hint="eastAsia" w:ascii="仿宋_GB2312" w:eastAsia="仿宋_GB2312"/>
          <w:sz w:val="32"/>
          <w:szCs w:val="32"/>
        </w:rPr>
        <w:t>（2）协助党委和组织部门抓好老干部</w:t>
      </w:r>
      <w:r>
        <w:rPr>
          <w:rFonts w:hint="eastAsia" w:ascii="仿宋_GB2312" w:eastAsia="仿宋_GB2312"/>
          <w:sz w:val="32"/>
          <w:szCs w:val="32"/>
          <w:lang w:eastAsia="zh-CN"/>
        </w:rPr>
        <w:t>党的</w:t>
      </w:r>
      <w:r>
        <w:rPr>
          <w:rFonts w:hint="eastAsia" w:ascii="仿宋_GB2312" w:eastAsia="仿宋_GB2312"/>
          <w:sz w:val="32"/>
          <w:szCs w:val="32"/>
        </w:rPr>
        <w:t>组织建设和</w:t>
      </w:r>
      <w:r>
        <w:rPr>
          <w:rFonts w:hint="eastAsia" w:ascii="仿宋_GB2312" w:eastAsia="仿宋_GB2312"/>
          <w:sz w:val="32"/>
          <w:szCs w:val="32"/>
          <w:lang w:eastAsia="zh-CN"/>
        </w:rPr>
        <w:t>思想政治</w:t>
      </w:r>
      <w:r>
        <w:rPr>
          <w:rFonts w:hint="eastAsia" w:ascii="仿宋_GB2312" w:eastAsia="仿宋_GB2312"/>
          <w:sz w:val="32"/>
          <w:szCs w:val="32"/>
        </w:rPr>
        <w:t>工作；组织指导老干部政治学习，阅读文件，听重要报告，参加有关会议和重要政治活动。</w:t>
      </w:r>
    </w:p>
    <w:p w14:paraId="5430AFC8">
      <w:pPr>
        <w:ind w:firstLine="640" w:firstLineChars="200"/>
        <w:jc w:val="left"/>
        <w:rPr>
          <w:rFonts w:ascii="仿宋_GB2312" w:eastAsia="仿宋_GB2312"/>
          <w:sz w:val="32"/>
          <w:szCs w:val="32"/>
        </w:rPr>
      </w:pPr>
      <w:r>
        <w:rPr>
          <w:rFonts w:hint="eastAsia" w:ascii="仿宋_GB2312" w:eastAsia="仿宋_GB2312"/>
          <w:sz w:val="32"/>
          <w:szCs w:val="32"/>
        </w:rPr>
        <w:t>（3）调查研究离退休干部的离退休费，医疗、住房、取暖等方面存在的问题；督促检查老干部政治、生活待遇的落实。</w:t>
      </w:r>
    </w:p>
    <w:p w14:paraId="6AD4644B">
      <w:pPr>
        <w:ind w:firstLine="640" w:firstLineChars="200"/>
        <w:jc w:val="left"/>
        <w:rPr>
          <w:rFonts w:ascii="仿宋_GB2312" w:eastAsia="仿宋_GB2312"/>
          <w:sz w:val="32"/>
          <w:szCs w:val="32"/>
        </w:rPr>
      </w:pPr>
      <w:r>
        <w:rPr>
          <w:rFonts w:hint="eastAsia" w:ascii="仿宋_GB2312" w:eastAsia="仿宋_GB2312"/>
          <w:sz w:val="32"/>
          <w:szCs w:val="32"/>
        </w:rPr>
        <w:t>（4）组织引导老干部在社会主义物质文明和精神文明建设中发挥作用；总结推广老干部发挥作用的先进事迹和经 验；协助解决老干部发挥作用中出现的问题。</w:t>
      </w:r>
    </w:p>
    <w:p w14:paraId="71188CE0">
      <w:pPr>
        <w:ind w:firstLine="640" w:firstLineChars="200"/>
        <w:jc w:val="left"/>
        <w:rPr>
          <w:rFonts w:ascii="仿宋_GB2312" w:eastAsia="仿宋_GB2312"/>
          <w:sz w:val="32"/>
          <w:szCs w:val="32"/>
        </w:rPr>
      </w:pPr>
      <w:r>
        <w:rPr>
          <w:rFonts w:hint="eastAsia" w:ascii="仿宋_GB2312" w:eastAsia="仿宋_GB2312"/>
          <w:sz w:val="32"/>
          <w:szCs w:val="32"/>
        </w:rPr>
        <w:t>（5）负责对全县行政事业单位离退休人员人数和离退休费标准及数额进行审核；负责全县企业离休干部护理费、交通费、冬炭费等费用的发放以及无工作的离休干部遗孀生 活补助费、医药费、取暖费的发放工作。</w:t>
      </w:r>
    </w:p>
    <w:p w14:paraId="55E1627D">
      <w:pPr>
        <w:ind w:firstLine="640" w:firstLineChars="200"/>
        <w:jc w:val="left"/>
        <w:rPr>
          <w:rFonts w:ascii="仿宋_GB2312" w:eastAsia="仿宋_GB2312"/>
          <w:sz w:val="32"/>
          <w:szCs w:val="32"/>
        </w:rPr>
      </w:pPr>
      <w:r>
        <w:rPr>
          <w:rFonts w:hint="eastAsia" w:ascii="仿宋_GB2312" w:eastAsia="仿宋_GB2312"/>
          <w:sz w:val="32"/>
          <w:szCs w:val="32"/>
        </w:rPr>
        <w:t>（6）负责全县离退休干部和党政机关、事业单位退休干部管理工作。</w:t>
      </w:r>
    </w:p>
    <w:p w14:paraId="428C2BA7">
      <w:pPr>
        <w:ind w:firstLine="640" w:firstLineChars="200"/>
        <w:jc w:val="left"/>
        <w:rPr>
          <w:rFonts w:ascii="仿宋_GB2312" w:eastAsia="仿宋_GB2312"/>
          <w:sz w:val="32"/>
          <w:szCs w:val="32"/>
        </w:rPr>
      </w:pPr>
      <w:r>
        <w:rPr>
          <w:rFonts w:hint="eastAsia" w:ascii="仿宋_GB2312" w:eastAsia="仿宋_GB2312"/>
          <w:sz w:val="32"/>
          <w:szCs w:val="32"/>
        </w:rPr>
        <w:t>（7）负责老干部来信来访工作。</w:t>
      </w:r>
    </w:p>
    <w:p w14:paraId="16738222">
      <w:pPr>
        <w:ind w:firstLine="640" w:firstLineChars="200"/>
        <w:jc w:val="left"/>
        <w:rPr>
          <w:rFonts w:ascii="仿宋_GB2312" w:eastAsia="仿宋_GB2312"/>
          <w:sz w:val="32"/>
          <w:szCs w:val="32"/>
        </w:rPr>
      </w:pPr>
      <w:r>
        <w:rPr>
          <w:rFonts w:hint="eastAsia" w:ascii="仿宋_GB2312" w:eastAsia="仿宋_GB2312"/>
          <w:sz w:val="32"/>
          <w:szCs w:val="32"/>
        </w:rPr>
        <w:t>（8）指导全县老干部活动场所建设；组织协调指导全县老干部开展大型文体活动；组织全县离退休干部开展形式多样丰富多彩的文体娱乐活动；组织离退休干部赴区内外健康疗养，参观工农业生产。</w:t>
      </w:r>
    </w:p>
    <w:p w14:paraId="68540B5F">
      <w:pPr>
        <w:ind w:firstLine="640" w:firstLineChars="200"/>
        <w:jc w:val="left"/>
        <w:rPr>
          <w:rFonts w:ascii="仿宋_GB2312" w:eastAsia="仿宋_GB2312"/>
          <w:sz w:val="32"/>
          <w:szCs w:val="32"/>
        </w:rPr>
      </w:pPr>
      <w:r>
        <w:rPr>
          <w:rFonts w:hint="eastAsia" w:ascii="仿宋_GB2312" w:eastAsia="仿宋_GB2312"/>
          <w:sz w:val="32"/>
          <w:szCs w:val="32"/>
        </w:rPr>
        <w:t>（9）负责全县离退休干部的住院看望；协助县委组织安排重大节日县四套班子领导走访慰问老干部及离休干部遗孀。</w:t>
      </w:r>
    </w:p>
    <w:p w14:paraId="7B451E1D">
      <w:pPr>
        <w:ind w:firstLine="640" w:firstLineChars="200"/>
        <w:jc w:val="left"/>
        <w:rPr>
          <w:rFonts w:ascii="仿宋_GB2312" w:eastAsia="仿宋_GB2312"/>
          <w:sz w:val="32"/>
          <w:szCs w:val="32"/>
        </w:rPr>
      </w:pPr>
      <w:r>
        <w:rPr>
          <w:rFonts w:hint="eastAsia" w:ascii="仿宋_GB2312" w:eastAsia="仿宋_GB2312"/>
          <w:sz w:val="32"/>
          <w:szCs w:val="32"/>
        </w:rPr>
        <w:t>（10）协调各新闻宣传部门，采取多种形式宣传老干部工作方针、政策，宣传老干部的历史功绩和现实作用，宣传 老干部工作的经验。</w:t>
      </w:r>
    </w:p>
    <w:p w14:paraId="25A1403D">
      <w:pPr>
        <w:ind w:firstLine="640" w:firstLineChars="200"/>
        <w:jc w:val="left"/>
        <w:rPr>
          <w:rFonts w:ascii="仿宋_GB2312" w:eastAsia="仿宋_GB2312"/>
          <w:sz w:val="32"/>
          <w:szCs w:val="32"/>
        </w:rPr>
      </w:pPr>
      <w:r>
        <w:rPr>
          <w:rFonts w:hint="eastAsia" w:ascii="仿宋_GB2312" w:eastAsia="仿宋_GB2312"/>
          <w:sz w:val="32"/>
          <w:szCs w:val="32"/>
        </w:rPr>
        <w:t>（11）指导做好老干部的管理服务和各类活动的开展工作；指导协调自治县关心下一代工作委员会办公室工作，指 导协调老干部各协会开展工作。</w:t>
      </w:r>
    </w:p>
    <w:p w14:paraId="362A27D2">
      <w:pPr>
        <w:ind w:firstLine="640" w:firstLineChars="200"/>
        <w:jc w:val="left"/>
        <w:rPr>
          <w:rFonts w:ascii="仿宋_GB2312" w:eastAsia="仿宋_GB2312"/>
          <w:sz w:val="32"/>
          <w:szCs w:val="32"/>
        </w:rPr>
      </w:pPr>
      <w:r>
        <w:rPr>
          <w:rFonts w:hint="eastAsia" w:ascii="仿宋_GB2312" w:eastAsia="仿宋_GB2312"/>
          <w:sz w:val="32"/>
          <w:szCs w:val="32"/>
        </w:rPr>
        <w:t>（12）完成上级交办的其他工作。</w:t>
      </w:r>
    </w:p>
    <w:p w14:paraId="0A467DF5">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D5ACB3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中共木垒哈萨克自治县委员会老干部局2023年度，实有人数</w:t>
      </w:r>
      <w:r>
        <w:rPr>
          <w:rFonts w:hint="eastAsia" w:ascii="仿宋_GB2312" w:eastAsia="仿宋_GB2312"/>
          <w:sz w:val="32"/>
          <w:szCs w:val="32"/>
          <w:lang w:val="zh-CN"/>
        </w:rPr>
        <w:t>17</w:t>
      </w:r>
      <w:r>
        <w:rPr>
          <w:rFonts w:hint="eastAsia" w:ascii="仿宋_GB2312" w:eastAsia="仿宋_GB2312"/>
          <w:sz w:val="32"/>
          <w:szCs w:val="32"/>
        </w:rPr>
        <w:t>人，其中：在职人员</w:t>
      </w:r>
      <w:r>
        <w:rPr>
          <w:rFonts w:hint="eastAsia" w:ascii="仿宋_GB2312" w:eastAsia="仿宋_GB2312"/>
          <w:sz w:val="32"/>
          <w:szCs w:val="32"/>
          <w:lang w:val="zh-CN"/>
        </w:rPr>
        <w:t>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w:t>
      </w:r>
      <w:r>
        <w:rPr>
          <w:rFonts w:hint="eastAsia" w:ascii="仿宋_GB2312" w:eastAsia="仿宋_GB2312"/>
          <w:sz w:val="32"/>
          <w:szCs w:val="32"/>
        </w:rPr>
        <w:t>人。</w:t>
      </w:r>
    </w:p>
    <w:p w14:paraId="2CE6B47B">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14:paraId="6DC9E779">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75C1FEB2">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2E54E8AD">
      <w:pPr>
        <w:ind w:firstLine="640" w:firstLineChars="200"/>
        <w:jc w:val="left"/>
        <w:rPr>
          <w:rFonts w:ascii="仿宋_GB2312" w:eastAsia="仿宋_GB2312"/>
          <w:sz w:val="32"/>
          <w:szCs w:val="32"/>
        </w:rPr>
      </w:pPr>
      <w:r>
        <w:rPr>
          <w:rFonts w:hint="eastAsia" w:ascii="仿宋_GB2312" w:eastAsia="仿宋_GB2312"/>
          <w:sz w:val="32"/>
          <w:szCs w:val="32"/>
        </w:rPr>
        <w:t>2023年度收入总计242.48万元，其中：本年收入合计242.48万元，使用非财政拨款结余0.00万元，年初结转和结余0.00万元。</w:t>
      </w:r>
    </w:p>
    <w:p w14:paraId="0A6F11FD">
      <w:pPr>
        <w:ind w:firstLine="640" w:firstLineChars="200"/>
        <w:jc w:val="left"/>
        <w:rPr>
          <w:rFonts w:ascii="仿宋_GB2312" w:eastAsia="仿宋_GB2312"/>
          <w:sz w:val="32"/>
          <w:szCs w:val="32"/>
        </w:rPr>
      </w:pPr>
      <w:r>
        <w:rPr>
          <w:rFonts w:hint="eastAsia" w:ascii="仿宋_GB2312" w:eastAsia="仿宋_GB2312"/>
          <w:sz w:val="32"/>
          <w:szCs w:val="32"/>
        </w:rPr>
        <w:t>2023年度支出总计242.48万元，其中：本年支出合计242.48万元，结余分配0.00万元，年末结转和结余0.00万元。</w:t>
      </w:r>
    </w:p>
    <w:p w14:paraId="6211C1EB">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增加66.80万元</w:t>
      </w:r>
      <w:r>
        <w:rPr>
          <w:rFonts w:hint="eastAsia" w:ascii="仿宋_GB2312" w:eastAsia="仿宋_GB2312"/>
          <w:sz w:val="32"/>
          <w:szCs w:val="32"/>
        </w:rPr>
        <w:t>，增长38.02%，主要原因是：本年单位人员增加，工资、津补贴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等人员经费增加</w:t>
      </w:r>
      <w:r>
        <w:rPr>
          <w:rFonts w:hint="eastAsia" w:ascii="仿宋_GB2312" w:eastAsia="仿宋_GB2312"/>
          <w:sz w:val="32"/>
          <w:szCs w:val="32"/>
          <w:lang w:eastAsia="zh-CN"/>
        </w:rPr>
        <w:t>；</w:t>
      </w:r>
      <w:r>
        <w:rPr>
          <w:rFonts w:hint="eastAsia" w:ascii="仿宋_GB2312" w:eastAsia="仿宋_GB2312"/>
          <w:sz w:val="32"/>
          <w:szCs w:val="32"/>
        </w:rPr>
        <w:t>基层机构运转补助</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增加</w:t>
      </w:r>
      <w:r>
        <w:rPr>
          <w:rFonts w:hint="eastAsia" w:ascii="仿宋_GB2312" w:eastAsia="仿宋_GB2312"/>
          <w:sz w:val="32"/>
          <w:szCs w:val="32"/>
        </w:rPr>
        <w:t>。</w:t>
      </w:r>
    </w:p>
    <w:p w14:paraId="5E493840">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9FFCDF6">
      <w:pPr>
        <w:ind w:firstLine="640" w:firstLineChars="200"/>
        <w:jc w:val="left"/>
        <w:rPr>
          <w:rFonts w:ascii="仿宋_GB2312" w:eastAsia="仿宋_GB2312"/>
          <w:sz w:val="32"/>
          <w:szCs w:val="32"/>
        </w:rPr>
      </w:pPr>
      <w:r>
        <w:rPr>
          <w:rFonts w:hint="eastAsia" w:ascii="仿宋_GB2312" w:eastAsia="仿宋_GB2312"/>
          <w:sz w:val="32"/>
          <w:szCs w:val="32"/>
        </w:rPr>
        <w:t>本年收入242.48万元，其中：财政拨款收入</w:t>
      </w:r>
      <w:r>
        <w:rPr>
          <w:rFonts w:hint="eastAsia" w:ascii="仿宋_GB2312" w:eastAsia="仿宋_GB2312"/>
          <w:sz w:val="32"/>
          <w:szCs w:val="32"/>
          <w:lang w:val="zh-CN"/>
        </w:rPr>
        <w:t>240.37</w:t>
      </w:r>
      <w:r>
        <w:rPr>
          <w:rFonts w:hint="eastAsia" w:ascii="仿宋_GB2312" w:eastAsia="仿宋_GB2312"/>
          <w:sz w:val="32"/>
          <w:szCs w:val="32"/>
        </w:rPr>
        <w:t>万元，占</w:t>
      </w:r>
      <w:r>
        <w:rPr>
          <w:rFonts w:hint="eastAsia" w:ascii="仿宋_GB2312" w:eastAsia="仿宋_GB2312"/>
          <w:sz w:val="32"/>
          <w:szCs w:val="32"/>
          <w:lang w:val="zh-CN"/>
        </w:rPr>
        <w:t>99.13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2.11</w:t>
      </w:r>
      <w:r>
        <w:rPr>
          <w:rFonts w:hint="eastAsia" w:ascii="仿宋_GB2312" w:eastAsia="仿宋_GB2312"/>
          <w:sz w:val="32"/>
          <w:szCs w:val="32"/>
        </w:rPr>
        <w:t>万元，占</w:t>
      </w:r>
      <w:r>
        <w:rPr>
          <w:rFonts w:hint="eastAsia" w:ascii="仿宋_GB2312" w:eastAsia="仿宋_GB2312"/>
          <w:sz w:val="32"/>
          <w:szCs w:val="32"/>
          <w:lang w:val="zh-CN"/>
        </w:rPr>
        <w:t>0.87</w:t>
      </w:r>
      <w:r>
        <w:rPr>
          <w:rFonts w:hint="eastAsia" w:ascii="仿宋_GB2312" w:eastAsia="仿宋_GB2312"/>
          <w:sz w:val="32"/>
          <w:szCs w:val="32"/>
        </w:rPr>
        <w:t>%。</w:t>
      </w:r>
    </w:p>
    <w:p w14:paraId="258D20A0">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2294DD4">
      <w:pPr>
        <w:ind w:firstLine="640" w:firstLineChars="200"/>
        <w:jc w:val="left"/>
        <w:rPr>
          <w:rFonts w:ascii="仿宋_GB2312" w:eastAsia="仿宋_GB2312"/>
          <w:sz w:val="32"/>
          <w:szCs w:val="32"/>
        </w:rPr>
      </w:pPr>
      <w:r>
        <w:rPr>
          <w:rFonts w:hint="eastAsia" w:ascii="仿宋_GB2312" w:eastAsia="仿宋_GB2312"/>
          <w:sz w:val="32"/>
          <w:szCs w:val="32"/>
        </w:rPr>
        <w:t>本年支出242.48万元，其中：基本支出237.48万元，占97.94%；项目支出5.00万元，占2.06%；上缴上级支出0.00万元，占0.00%；经营支出0.00万元，占0.00%；对附属单位补助支出0.00万元，占0.00%。</w:t>
      </w:r>
    </w:p>
    <w:p w14:paraId="759B7E3A">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9466A7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240.37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240.37</w:t>
      </w:r>
      <w:r>
        <w:rPr>
          <w:rFonts w:hint="eastAsia" w:ascii="仿宋_GB2312" w:eastAsia="仿宋_GB2312"/>
          <w:sz w:val="32"/>
          <w:szCs w:val="32"/>
        </w:rPr>
        <w:t>万元。财政拨款支出总计</w:t>
      </w:r>
      <w:r>
        <w:rPr>
          <w:rFonts w:hint="eastAsia" w:ascii="仿宋_GB2312" w:eastAsia="仿宋_GB2312"/>
          <w:sz w:val="32"/>
          <w:szCs w:val="32"/>
          <w:lang w:val="zh-CN"/>
        </w:rPr>
        <w:t>240.37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240.37</w:t>
      </w:r>
      <w:r>
        <w:rPr>
          <w:rFonts w:hint="eastAsia" w:ascii="仿宋_GB2312" w:eastAsia="仿宋_GB2312"/>
          <w:sz w:val="32"/>
          <w:szCs w:val="32"/>
        </w:rPr>
        <w:t>万元。</w:t>
      </w:r>
    </w:p>
    <w:p w14:paraId="4D6F0037">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增加64.69万元</w:t>
      </w:r>
      <w:r>
        <w:rPr>
          <w:rFonts w:hint="eastAsia" w:ascii="仿宋_GB2312" w:eastAsia="仿宋_GB2312"/>
          <w:sz w:val="32"/>
          <w:szCs w:val="32"/>
        </w:rPr>
        <w:t>，增长36.82%,主要原因是：本年单位人员增加，工资、津补贴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等人员经费增加</w:t>
      </w:r>
      <w:r>
        <w:rPr>
          <w:rFonts w:hint="eastAsia" w:ascii="仿宋_GB2312" w:eastAsia="仿宋_GB2312"/>
          <w:sz w:val="32"/>
          <w:szCs w:val="32"/>
          <w:lang w:eastAsia="zh-CN"/>
        </w:rPr>
        <w:t>；</w:t>
      </w:r>
      <w:r>
        <w:rPr>
          <w:rFonts w:hint="eastAsia" w:ascii="仿宋_GB2312" w:eastAsia="仿宋_GB2312"/>
          <w:sz w:val="32"/>
          <w:szCs w:val="32"/>
        </w:rPr>
        <w:t>基层机构运转补助</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284.59</w:t>
      </w:r>
      <w:r>
        <w:rPr>
          <w:rFonts w:hint="eastAsia" w:ascii="仿宋_GB2312" w:eastAsia="仿宋_GB2312"/>
          <w:sz w:val="32"/>
          <w:szCs w:val="32"/>
        </w:rPr>
        <w:t>万元，决算数</w:t>
      </w:r>
      <w:r>
        <w:rPr>
          <w:rFonts w:hint="eastAsia" w:ascii="仿宋_GB2312" w:eastAsia="仿宋_GB2312"/>
          <w:sz w:val="32"/>
          <w:szCs w:val="32"/>
          <w:lang w:val="zh-CN"/>
        </w:rPr>
        <w:t>240.37</w:t>
      </w:r>
      <w:r>
        <w:rPr>
          <w:rFonts w:hint="eastAsia" w:ascii="仿宋_GB2312" w:eastAsia="仿宋_GB2312"/>
          <w:sz w:val="32"/>
          <w:szCs w:val="32"/>
        </w:rPr>
        <w:t>万元，预决算差异率-15.54%，主要原因是：本年单位老干部活动</w:t>
      </w:r>
      <w:r>
        <w:rPr>
          <w:rFonts w:hint="eastAsia" w:ascii="仿宋_GB2312" w:eastAsia="仿宋_GB2312"/>
          <w:sz w:val="32"/>
          <w:szCs w:val="32"/>
          <w:lang w:val="en-US" w:eastAsia="zh-CN"/>
        </w:rPr>
        <w:t>经费较预算减少</w:t>
      </w:r>
      <w:r>
        <w:rPr>
          <w:rFonts w:hint="eastAsia" w:ascii="仿宋_GB2312" w:eastAsia="仿宋_GB2312"/>
          <w:sz w:val="32"/>
          <w:szCs w:val="32"/>
        </w:rPr>
        <w:t>。</w:t>
      </w:r>
    </w:p>
    <w:p w14:paraId="36682588">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474AD4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B28FCC0">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2023年度一般公共预算财政拨款支出240.37万元，占本年支出合计的</w:t>
      </w:r>
      <w:r>
        <w:rPr>
          <w:rFonts w:hint="eastAsia" w:ascii="仿宋_GB2312" w:eastAsia="仿宋_GB2312"/>
          <w:sz w:val="32"/>
          <w:szCs w:val="32"/>
          <w:lang w:val="zh-CN"/>
        </w:rPr>
        <w:t>99.13%</w:t>
      </w:r>
      <w:r>
        <w:rPr>
          <w:rFonts w:hint="eastAsia" w:ascii="仿宋_GB2312" w:eastAsia="仿宋_GB2312"/>
          <w:sz w:val="32"/>
          <w:szCs w:val="32"/>
        </w:rPr>
        <w:t>。与上年相比，</w:t>
      </w:r>
      <w:r>
        <w:rPr>
          <w:rFonts w:hint="eastAsia" w:ascii="仿宋_GB2312" w:eastAsia="仿宋_GB2312"/>
          <w:sz w:val="32"/>
          <w:szCs w:val="32"/>
          <w:lang w:val="zh-CN"/>
        </w:rPr>
        <w:t>增加64.69万元</w:t>
      </w:r>
      <w:r>
        <w:rPr>
          <w:rFonts w:hint="eastAsia" w:ascii="仿宋_GB2312" w:eastAsia="仿宋_GB2312"/>
          <w:sz w:val="32"/>
          <w:szCs w:val="32"/>
        </w:rPr>
        <w:t>，增长36.82%,主要原因是：本年单位人员增加，工资、津补贴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等人员经费增加</w:t>
      </w:r>
      <w:r>
        <w:rPr>
          <w:rFonts w:hint="eastAsia" w:ascii="仿宋_GB2312" w:eastAsia="仿宋_GB2312"/>
          <w:sz w:val="32"/>
          <w:szCs w:val="32"/>
          <w:lang w:eastAsia="zh-CN"/>
        </w:rPr>
        <w:t>；</w:t>
      </w:r>
      <w:r>
        <w:rPr>
          <w:rFonts w:hint="eastAsia" w:ascii="仿宋_GB2312" w:eastAsia="仿宋_GB2312"/>
          <w:sz w:val="32"/>
          <w:szCs w:val="32"/>
        </w:rPr>
        <w:t>基层机构运转补助</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val="en-US" w:eastAsia="zh-CN"/>
        </w:rPr>
        <w:t>增加</w:t>
      </w:r>
      <w:r>
        <w:rPr>
          <w:rFonts w:hint="eastAsia" w:ascii="仿宋_GB2312" w:eastAsia="仿宋_GB2312"/>
          <w:sz w:val="32"/>
          <w:szCs w:val="32"/>
        </w:rPr>
        <w:t>。与年初预算相比，年初预算数</w:t>
      </w:r>
      <w:r>
        <w:rPr>
          <w:rFonts w:hint="eastAsia" w:ascii="仿宋_GB2312" w:eastAsia="仿宋_GB2312"/>
          <w:sz w:val="32"/>
          <w:szCs w:val="32"/>
          <w:lang w:val="zh-CN"/>
        </w:rPr>
        <w:t>284.59</w:t>
      </w:r>
      <w:r>
        <w:rPr>
          <w:rFonts w:hint="eastAsia" w:ascii="仿宋_GB2312" w:eastAsia="仿宋_GB2312"/>
          <w:sz w:val="32"/>
          <w:szCs w:val="32"/>
        </w:rPr>
        <w:t>万元，决算数</w:t>
      </w:r>
      <w:r>
        <w:rPr>
          <w:rFonts w:hint="eastAsia" w:ascii="仿宋_GB2312" w:eastAsia="仿宋_GB2312"/>
          <w:sz w:val="32"/>
          <w:szCs w:val="32"/>
          <w:lang w:val="zh-CN"/>
        </w:rPr>
        <w:t>240.37</w:t>
      </w:r>
      <w:r>
        <w:rPr>
          <w:rFonts w:hint="eastAsia" w:ascii="仿宋_GB2312" w:eastAsia="仿宋_GB2312"/>
          <w:sz w:val="32"/>
          <w:szCs w:val="32"/>
        </w:rPr>
        <w:t>万元，预决算差异率</w:t>
      </w:r>
      <w:r>
        <w:rPr>
          <w:rFonts w:hint="eastAsia" w:ascii="仿宋_GB2312" w:eastAsia="仿宋_GB2312"/>
          <w:sz w:val="32"/>
          <w:szCs w:val="32"/>
          <w:lang w:val="zh-CN"/>
        </w:rPr>
        <w:t>-15.54%</w:t>
      </w:r>
      <w:r>
        <w:rPr>
          <w:rFonts w:hint="eastAsia" w:ascii="仿宋_GB2312" w:eastAsia="仿宋_GB2312"/>
          <w:sz w:val="32"/>
          <w:szCs w:val="32"/>
        </w:rPr>
        <w:t>，主要原因是：本年单位老干部活动</w:t>
      </w:r>
      <w:r>
        <w:rPr>
          <w:rFonts w:hint="eastAsia" w:ascii="仿宋_GB2312" w:eastAsia="仿宋_GB2312"/>
          <w:sz w:val="32"/>
          <w:szCs w:val="32"/>
          <w:lang w:val="en-US" w:eastAsia="zh-CN"/>
        </w:rPr>
        <w:t>经费较预算减少</w:t>
      </w:r>
      <w:r>
        <w:rPr>
          <w:rFonts w:hint="eastAsia" w:ascii="仿宋_GB2312" w:eastAsia="仿宋_GB2312"/>
          <w:sz w:val="32"/>
          <w:szCs w:val="32"/>
        </w:rPr>
        <w:t>。</w:t>
      </w:r>
    </w:p>
    <w:p w14:paraId="0E7517D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D1F33A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206.49</w:t>
      </w:r>
      <w:r>
        <w:rPr>
          <w:rFonts w:ascii="仿宋_GB2312" w:eastAsia="仿宋_GB2312"/>
          <w:kern w:val="2"/>
          <w:sz w:val="32"/>
          <w:szCs w:val="32"/>
          <w:lang w:val="zh-CN"/>
        </w:rPr>
        <w:t>万元，占</w:t>
      </w:r>
      <w:r>
        <w:rPr>
          <w:rFonts w:hint="eastAsia" w:ascii="仿宋_GB2312" w:eastAsia="仿宋_GB2312"/>
          <w:kern w:val="2"/>
          <w:sz w:val="32"/>
          <w:szCs w:val="32"/>
          <w:lang w:val="zh-CN"/>
        </w:rPr>
        <w:t>85.91</w:t>
      </w:r>
      <w:r>
        <w:rPr>
          <w:rFonts w:ascii="仿宋_GB2312" w:eastAsia="仿宋_GB2312"/>
          <w:kern w:val="2"/>
          <w:sz w:val="32"/>
          <w:szCs w:val="32"/>
          <w:lang w:val="zh-CN"/>
        </w:rPr>
        <w:t>%；</w:t>
      </w:r>
    </w:p>
    <w:p w14:paraId="710E0E4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25.46</w:t>
      </w:r>
      <w:r>
        <w:rPr>
          <w:rFonts w:ascii="仿宋_GB2312" w:eastAsia="仿宋_GB2312"/>
          <w:kern w:val="2"/>
          <w:sz w:val="32"/>
          <w:szCs w:val="32"/>
          <w:lang w:val="zh-CN"/>
        </w:rPr>
        <w:t>万元，占</w:t>
      </w:r>
      <w:r>
        <w:rPr>
          <w:rFonts w:hint="eastAsia" w:ascii="仿宋_GB2312" w:eastAsia="仿宋_GB2312"/>
          <w:kern w:val="2"/>
          <w:sz w:val="32"/>
          <w:szCs w:val="32"/>
          <w:lang w:val="zh-CN"/>
        </w:rPr>
        <w:t>10.59</w:t>
      </w:r>
      <w:r>
        <w:rPr>
          <w:rFonts w:ascii="仿宋_GB2312" w:eastAsia="仿宋_GB2312"/>
          <w:kern w:val="2"/>
          <w:sz w:val="32"/>
          <w:szCs w:val="32"/>
          <w:lang w:val="zh-CN"/>
        </w:rPr>
        <w:t>%；</w:t>
      </w:r>
    </w:p>
    <w:p w14:paraId="4347580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8.42</w:t>
      </w:r>
      <w:r>
        <w:rPr>
          <w:rFonts w:ascii="仿宋_GB2312" w:eastAsia="仿宋_GB2312"/>
          <w:kern w:val="2"/>
          <w:sz w:val="32"/>
          <w:szCs w:val="32"/>
          <w:lang w:val="zh-CN"/>
        </w:rPr>
        <w:t>万元，占</w:t>
      </w:r>
      <w:r>
        <w:rPr>
          <w:rFonts w:hint="eastAsia" w:ascii="仿宋_GB2312" w:eastAsia="仿宋_GB2312"/>
          <w:kern w:val="2"/>
          <w:sz w:val="32"/>
          <w:szCs w:val="32"/>
          <w:lang w:val="zh-CN"/>
        </w:rPr>
        <w:t>3.50</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23088C9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A05348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1.住房保障支出（类）住房改革支出（款）住房公积金（项）:支出决算数为8.42万元，比上年决算增加1.02万元，增长13.78%，主要原因是：本年单位人员增加，人员公积金缴费增加。</w:t>
      </w:r>
    </w:p>
    <w:p w14:paraId="54BBD13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2.一般公共服务支出（类）组织事务（款）其他组织事务支出（项）:支出决算数为5.00万元，比上年决算增加5.00万元，增长100%，主要原因是：本年单位新增基层机构运转补助资金。</w:t>
      </w:r>
    </w:p>
    <w:p w14:paraId="4456061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3.社会保障和就业支出（类）抚恤（款）死亡抚恤（项）:支出决算数为11.02万元，比上年决算增加11.02万元，增长100%，主要原因是：</w:t>
      </w:r>
      <w:r>
        <w:rPr>
          <w:rFonts w:hint="eastAsia" w:ascii="仿宋_GB2312" w:eastAsia="仿宋_GB2312"/>
          <w:sz w:val="32"/>
          <w:szCs w:val="32"/>
          <w:lang w:val="en-US" w:eastAsia="zh-CN"/>
        </w:rPr>
        <w:t>单位本</w:t>
      </w:r>
      <w:r>
        <w:rPr>
          <w:rFonts w:hint="eastAsia" w:ascii="仿宋_GB2312" w:eastAsia="仿宋_GB2312"/>
          <w:sz w:val="32"/>
          <w:szCs w:val="32"/>
        </w:rPr>
        <w:t>年遗孀人员生活</w:t>
      </w:r>
      <w:r>
        <w:rPr>
          <w:rFonts w:hint="eastAsia" w:ascii="仿宋_GB2312" w:eastAsia="仿宋_GB2312"/>
          <w:sz w:val="32"/>
          <w:szCs w:val="32"/>
          <w:lang w:val="en-US" w:eastAsia="zh-CN"/>
        </w:rPr>
        <w:t>补助</w:t>
      </w:r>
      <w:r>
        <w:rPr>
          <w:rFonts w:hint="eastAsia" w:ascii="仿宋_GB2312" w:eastAsia="仿宋_GB2312"/>
          <w:sz w:val="32"/>
          <w:szCs w:val="32"/>
        </w:rPr>
        <w:t>费</w:t>
      </w:r>
      <w:r>
        <w:rPr>
          <w:rFonts w:hint="eastAsia" w:ascii="仿宋_GB2312" w:eastAsia="仿宋_GB2312"/>
          <w:sz w:val="32"/>
          <w:szCs w:val="32"/>
          <w:lang w:val="en-US" w:eastAsia="zh-CN"/>
        </w:rPr>
        <w:t>用增加</w:t>
      </w:r>
      <w:r>
        <w:rPr>
          <w:rFonts w:hint="eastAsia" w:ascii="仿宋_GB2312" w:eastAsia="仿宋_GB2312"/>
          <w:sz w:val="32"/>
          <w:szCs w:val="32"/>
        </w:rPr>
        <w:t>。</w:t>
      </w:r>
    </w:p>
    <w:p w14:paraId="33349BC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4.一般公共服务支出（类）组织事务（款）行政运行（项）:支出决算数为201.49万元，比上年决算增加53.53万元，增长36.18%，主要原因是：本年单位人员增加，工资、津补贴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等人员经费增加。</w:t>
      </w:r>
    </w:p>
    <w:p w14:paraId="044867E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5.社会保障和就业支出（类）行政事业单位养老支出（款）行政单位离退休（项）:支出决算数为3.25万元，比上年决算减少7.58万元，下降69.99%，主要原因是：本年退休人员取暖费、交通补助费用</w:t>
      </w:r>
      <w:r>
        <w:rPr>
          <w:rFonts w:hint="eastAsia" w:ascii="仿宋_GB2312" w:eastAsia="仿宋_GB2312"/>
          <w:sz w:val="32"/>
          <w:szCs w:val="32"/>
          <w:lang w:val="en-US" w:eastAsia="zh-CN"/>
        </w:rPr>
        <w:t>减少</w:t>
      </w:r>
      <w:r>
        <w:rPr>
          <w:rFonts w:hint="eastAsia" w:ascii="仿宋_GB2312" w:eastAsia="仿宋_GB2312"/>
          <w:sz w:val="32"/>
          <w:szCs w:val="32"/>
        </w:rPr>
        <w:t>。</w:t>
      </w:r>
    </w:p>
    <w:p w14:paraId="68C6B72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6.社会保障和就业支出（类）行政事业单位养老支出（款）机关事业单位基本养老保险缴费支出（项）:支出决算数为11.19万元，比上年决算增加1.71万元，增长18.04%，主要原因是：本年单位人员增加，</w:t>
      </w:r>
      <w:r>
        <w:rPr>
          <w:rFonts w:hint="eastAsia" w:eastAsia="仿宋_GB2312"/>
          <w:sz w:val="32"/>
          <w:szCs w:val="32"/>
        </w:rPr>
        <w:t>人员养老保险缴费增加</w:t>
      </w:r>
      <w:r>
        <w:rPr>
          <w:rFonts w:hint="eastAsia" w:ascii="仿宋_GB2312" w:eastAsia="仿宋_GB2312"/>
          <w:sz w:val="32"/>
          <w:szCs w:val="32"/>
        </w:rPr>
        <w:t>。</w:t>
      </w:r>
    </w:p>
    <w:p w14:paraId="2A6D096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40F14D4">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235.37万元，其中：人员经费123.54万元，包括：基本工资、津贴补贴、奖金、机关事业单位基本养老保险缴费、职工基本医疗保险缴费、公务员医疗补助缴费、其他社会保障缴费、住房公积金、退休费、生活补助、奖励金、其他对个人和家庭的补助。</w:t>
      </w:r>
    </w:p>
    <w:p w14:paraId="419EE361">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公用经费111.83万元，包括：办公费、水费、电费、取暖费、专用材料费、公务用车运行维护费。</w:t>
      </w:r>
    </w:p>
    <w:p w14:paraId="0785DC5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5623F0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“三公”经费支出1.07万元，</w:t>
      </w:r>
      <w:r>
        <w:rPr>
          <w:rFonts w:hint="eastAsia" w:ascii="仿宋_GB2312" w:eastAsia="仿宋_GB2312"/>
          <w:sz w:val="32"/>
          <w:szCs w:val="32"/>
        </w:rPr>
        <w:t>比上年</w:t>
      </w:r>
      <w:r>
        <w:rPr>
          <w:rFonts w:hint="eastAsia" w:ascii="仿宋_GB2312" w:eastAsia="仿宋_GB2312"/>
          <w:sz w:val="32"/>
          <w:szCs w:val="32"/>
          <w:lang w:val="zh-CN"/>
        </w:rPr>
        <w:t>减少0.32万元，</w:t>
      </w:r>
      <w:r>
        <w:rPr>
          <w:rFonts w:hint="eastAsia" w:ascii="仿宋_GB2312" w:eastAsia="仿宋_GB2312"/>
          <w:sz w:val="32"/>
          <w:szCs w:val="32"/>
        </w:rPr>
        <w:t>下降23.02%,</w:t>
      </w:r>
      <w:r>
        <w:rPr>
          <w:rFonts w:hint="eastAsia" w:ascii="仿宋_GB2312" w:eastAsia="仿宋_GB2312"/>
          <w:sz w:val="32"/>
          <w:szCs w:val="32"/>
          <w:lang w:val="zh-CN"/>
        </w:rPr>
        <w:t>主要原因是：车辆出行减少，车辆维修维护费、燃油费等较上年减少。其中：因公出国（境）费支出0.00万元，占0.00%，比上年增加0.00万元，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主要原因是：本年无此项经费；公务用车购置及运行维护费支出1.07万元，占100.00%，比上年减少0.32万元，</w:t>
      </w:r>
      <w:r>
        <w:rPr>
          <w:rFonts w:hint="eastAsia" w:ascii="仿宋_GB2312" w:eastAsia="仿宋_GB2312"/>
          <w:sz w:val="32"/>
          <w:szCs w:val="32"/>
        </w:rPr>
        <w:t>下降23.02%,</w:t>
      </w:r>
      <w:r>
        <w:rPr>
          <w:rFonts w:hint="eastAsia" w:ascii="仿宋_GB2312" w:eastAsia="仿宋_GB2312"/>
          <w:sz w:val="32"/>
          <w:szCs w:val="32"/>
          <w:lang w:val="zh-CN"/>
        </w:rPr>
        <w:t>主要原因是：车辆出行减少，车辆维修维护费、燃油费等较上年减少；公务接待费支出0.00万元，占0.00%，比上年增加0.00万元，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1519F34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F97841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12B2A219">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公务用车购置及运行维护费1.07万元，其中：公务用车购置费0.00万元，公务用车运行维护费1.07万元。公务用车运行维护费开支内容包括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6A0160B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51E818D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bookmarkStart w:id="48" w:name="_GoBack"/>
      <w:r>
        <w:rPr>
          <w:rFonts w:hint="eastAsia" w:ascii="仿宋_GB2312" w:eastAsia="仿宋_GB2312"/>
          <w:sz w:val="32"/>
          <w:szCs w:val="32"/>
        </w:rPr>
        <w:t>,</w:t>
      </w:r>
      <w:bookmarkEnd w:id="48"/>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预算数1.07万元，决算数1.07万元，预决算差异率0.00%，主要原因是：本年严格按年初预算执行“三公”经费，预决算对比无差异。其中：因公出国（境）费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预算数1.07万元，决算数1.07万元，预决算差异率0.00%，主要原因是：本年严格按年初预算执行“三公”经费，预决算对比无差异；公务接待费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500D80BD">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110B8F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993A6B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06F2739">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3409BC3">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00A44A75">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9C909F9">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中共木垒哈萨克自治县委员会老干部局（行政单位和参照公务员法管理事业单位）机关运行经费支出111.83万元，比上年增加89.20万元，增长394.17%，主要原因是：本年单位办公经费、水电费、取暖费较上年增加。</w:t>
      </w:r>
    </w:p>
    <w:p w14:paraId="70907A6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1B4009A">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2023年度政府采购支出总额8.41万元，其中：政府采购货物支出3.58万元、政府采购工程支出1.35万元、政府采购服务支出3.48万元。</w:t>
      </w:r>
    </w:p>
    <w:p w14:paraId="21880FA7">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授予中小企业合同金额8.41万元，占政府采购支出总额的100.00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，其中：授予小微企业合同金额8.04万元，占政府采购支出总额的95.60</w:t>
      </w:r>
      <w:r>
        <w:rPr>
          <w:rFonts w:ascii="仿宋_GB2312" w:eastAsia="仿宋_GB2312"/>
          <w:sz w:val="32"/>
          <w:szCs w:val="32"/>
        </w:rPr>
        <w:t>%</w:t>
      </w:r>
      <w:r>
        <w:rPr>
          <w:rFonts w:hint="eastAsia" w:ascii="仿宋_GB2312" w:eastAsia="仿宋_GB2312"/>
          <w:sz w:val="32"/>
          <w:szCs w:val="32"/>
        </w:rPr>
        <w:t>。</w:t>
      </w:r>
    </w:p>
    <w:p w14:paraId="7BCD4F4F">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0E687B25">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截至2023年12月31日，固定资产原值581.61万元，房屋1</w:t>
      </w:r>
      <w:r>
        <w:rPr>
          <w:rFonts w:ascii="仿宋_GB2312" w:eastAsia="仿宋_GB2312"/>
          <w:sz w:val="32"/>
          <w:szCs w:val="32"/>
        </w:rPr>
        <w:t>,</w:t>
      </w:r>
      <w:r>
        <w:rPr>
          <w:rFonts w:hint="eastAsia" w:ascii="仿宋_GB2312" w:eastAsia="仿宋_GB2312"/>
          <w:sz w:val="32"/>
          <w:szCs w:val="32"/>
        </w:rPr>
        <w:t>796.73平方米，价值496.43万元。车辆1辆，价值21.69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5948EE37">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DE7A186">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242.48</w:t>
      </w:r>
      <w:r>
        <w:rPr>
          <w:rFonts w:hint="eastAsia" w:ascii="仿宋_GB2312" w:eastAsia="仿宋_GB2312"/>
          <w:sz w:val="32"/>
          <w:szCs w:val="32"/>
        </w:rPr>
        <w:t>万元，实际执行总额</w:t>
      </w:r>
      <w:r>
        <w:rPr>
          <w:rFonts w:ascii="仿宋_GB2312" w:eastAsia="仿宋_GB2312"/>
          <w:sz w:val="32"/>
          <w:szCs w:val="32"/>
        </w:rPr>
        <w:t>242.48</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预算绩效评价项目1个，全年预算数5</w:t>
      </w:r>
      <w:r>
        <w:rPr>
          <w:rFonts w:ascii="仿宋_GB2312" w:eastAsia="仿宋_GB2312"/>
          <w:sz w:val="32"/>
          <w:szCs w:val="32"/>
        </w:rPr>
        <w:t>.00</w:t>
      </w:r>
      <w:r>
        <w:rPr>
          <w:rFonts w:hint="eastAsia" w:ascii="仿宋_GB2312" w:eastAsia="仿宋_GB2312"/>
          <w:sz w:val="32"/>
          <w:szCs w:val="32"/>
        </w:rPr>
        <w:t>万元，全年执行数5</w:t>
      </w:r>
      <w:r>
        <w:rPr>
          <w:rFonts w:ascii="仿宋_GB2312" w:eastAsia="仿宋_GB2312"/>
          <w:sz w:val="32"/>
          <w:szCs w:val="32"/>
        </w:rPr>
        <w:t>.00</w:t>
      </w:r>
      <w:r>
        <w:rPr>
          <w:rFonts w:hint="eastAsia" w:ascii="仿宋_GB2312" w:eastAsia="仿宋_GB2312"/>
          <w:sz w:val="32"/>
          <w:szCs w:val="32"/>
        </w:rPr>
        <w:t>万元。预算绩效管理取得的成效：一是制订专项资金管理制度，各专项资金建立了专账，</w:t>
      </w:r>
      <w:r>
        <w:rPr>
          <w:rFonts w:hint="eastAsia" w:ascii="仿宋_GB2312" w:eastAsia="仿宋_GB2312"/>
          <w:sz w:val="32"/>
          <w:szCs w:val="32"/>
          <w:lang w:eastAsia="zh-CN"/>
        </w:rPr>
        <w:t>制定</w:t>
      </w:r>
      <w:r>
        <w:rPr>
          <w:rFonts w:hint="eastAsia" w:ascii="仿宋_GB2312" w:eastAsia="仿宋_GB2312"/>
          <w:sz w:val="32"/>
          <w:szCs w:val="32"/>
        </w:rPr>
        <w:t>了项目实施方案；二是切实</w:t>
      </w:r>
      <w:r>
        <w:rPr>
          <w:rFonts w:hint="eastAsia" w:ascii="仿宋_GB2312" w:eastAsia="仿宋_GB2312"/>
          <w:sz w:val="32"/>
          <w:szCs w:val="32"/>
          <w:lang w:eastAsia="zh-CN"/>
        </w:rPr>
        <w:t>维护专项资金</w:t>
      </w:r>
      <w:r>
        <w:rPr>
          <w:rFonts w:hint="eastAsia" w:ascii="仿宋_GB2312" w:eastAsia="仿宋_GB2312"/>
          <w:sz w:val="32"/>
          <w:szCs w:val="32"/>
        </w:rPr>
        <w:t>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6"/>
        <w:gridCol w:w="1016"/>
        <w:gridCol w:w="816"/>
        <w:gridCol w:w="816"/>
        <w:gridCol w:w="1453"/>
        <w:gridCol w:w="705"/>
        <w:gridCol w:w="877"/>
        <w:gridCol w:w="1023"/>
      </w:tblGrid>
      <w:tr w14:paraId="385B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1A2C80F3">
            <w:pPr>
              <w:widowControl/>
              <w:jc w:val="center"/>
              <w:rPr>
                <w:rFonts w:hint="eastAsia" w:cs="宋体" w:asciiTheme="minorEastAsia" w:hAnsiTheme="minorEastAsia" w:eastAsiaTheme="minorEastAsia"/>
                <w:b/>
                <w:bCs/>
                <w:kern w:val="0"/>
                <w:sz w:val="32"/>
                <w:szCs w:val="32"/>
              </w:rPr>
            </w:pPr>
            <w:r>
              <w:rPr>
                <w:rFonts w:hint="eastAsia" w:cs="宋体" w:asciiTheme="minorEastAsia" w:hAnsiTheme="minorEastAsia" w:eastAsiaTheme="minorEastAsia"/>
                <w:b/>
                <w:bCs/>
                <w:kern w:val="0"/>
                <w:sz w:val="32"/>
                <w:szCs w:val="32"/>
              </w:rPr>
              <w:t>部门（单位）整体支出绩效目标自评表</w:t>
            </w:r>
          </w:p>
        </w:tc>
      </w:tr>
      <w:tr w14:paraId="16EB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31FB760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2ACD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65" w:type="pct"/>
            <w:shd w:val="clear" w:color="auto" w:fill="auto"/>
            <w:noWrap/>
            <w:vAlign w:val="center"/>
          </w:tcPr>
          <w:p w14:paraId="70AB34C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3934" w:type="pct"/>
            <w:gridSpan w:val="7"/>
            <w:shd w:val="clear" w:color="auto" w:fill="auto"/>
            <w:noWrap/>
            <w:vAlign w:val="center"/>
          </w:tcPr>
          <w:p w14:paraId="7315EA5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w:t>
            </w:r>
            <w:r>
              <w:rPr>
                <w:rFonts w:hint="eastAsia" w:cs="宋体" w:asciiTheme="minorEastAsia" w:hAnsiTheme="minorEastAsia" w:eastAsiaTheme="minorEastAsia"/>
                <w:bCs/>
                <w:kern w:val="0"/>
                <w:sz w:val="20"/>
                <w:szCs w:val="20"/>
                <w:lang w:eastAsia="zh-CN"/>
              </w:rPr>
              <w:t>老干部局</w:t>
            </w:r>
          </w:p>
        </w:tc>
      </w:tr>
      <w:tr w14:paraId="2C99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65" w:type="pct"/>
            <w:vMerge w:val="restart"/>
            <w:shd w:val="clear" w:color="auto" w:fill="auto"/>
            <w:vAlign w:val="center"/>
          </w:tcPr>
          <w:p w14:paraId="1FC63A6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596" w:type="pct"/>
            <w:shd w:val="clear" w:color="auto" w:fill="auto"/>
            <w:vAlign w:val="center"/>
          </w:tcPr>
          <w:p w14:paraId="12BB351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478" w:type="pct"/>
            <w:shd w:val="clear" w:color="auto" w:fill="auto"/>
            <w:vAlign w:val="center"/>
          </w:tcPr>
          <w:p w14:paraId="32F1A67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478" w:type="pct"/>
            <w:shd w:val="clear" w:color="auto" w:fill="auto"/>
            <w:vAlign w:val="center"/>
          </w:tcPr>
          <w:p w14:paraId="7B8C635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853" w:type="pct"/>
            <w:shd w:val="clear" w:color="auto" w:fill="auto"/>
            <w:vAlign w:val="center"/>
          </w:tcPr>
          <w:p w14:paraId="53CC1CA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414" w:type="pct"/>
            <w:shd w:val="clear" w:color="auto" w:fill="auto"/>
            <w:vAlign w:val="center"/>
          </w:tcPr>
          <w:p w14:paraId="587526D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515" w:type="pct"/>
            <w:shd w:val="clear" w:color="auto" w:fill="auto"/>
            <w:vAlign w:val="center"/>
          </w:tcPr>
          <w:p w14:paraId="215FC1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597" w:type="pct"/>
            <w:shd w:val="clear" w:color="auto" w:fill="auto"/>
            <w:vAlign w:val="center"/>
          </w:tcPr>
          <w:p w14:paraId="7192ECF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29B6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065" w:type="pct"/>
            <w:vMerge w:val="continue"/>
            <w:vAlign w:val="center"/>
          </w:tcPr>
          <w:p w14:paraId="18BCC936">
            <w:pPr>
              <w:widowControl/>
              <w:jc w:val="left"/>
              <w:rPr>
                <w:rFonts w:hint="eastAsia" w:cs="宋体" w:asciiTheme="minorEastAsia" w:hAnsiTheme="minorEastAsia" w:eastAsiaTheme="minorEastAsia"/>
                <w:bCs/>
                <w:kern w:val="0"/>
                <w:sz w:val="20"/>
                <w:szCs w:val="20"/>
              </w:rPr>
            </w:pPr>
          </w:p>
        </w:tc>
        <w:tc>
          <w:tcPr>
            <w:tcW w:w="596" w:type="pct"/>
            <w:shd w:val="clear" w:color="auto" w:fill="auto"/>
            <w:noWrap/>
            <w:vAlign w:val="center"/>
          </w:tcPr>
          <w:p w14:paraId="1D7FC8D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478" w:type="pct"/>
            <w:shd w:val="clear" w:color="auto" w:fill="auto"/>
            <w:vAlign w:val="center"/>
          </w:tcPr>
          <w:p w14:paraId="4A4826EF">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478" w:type="pct"/>
            <w:shd w:val="clear" w:color="auto" w:fill="auto"/>
            <w:vAlign w:val="center"/>
          </w:tcPr>
          <w:p w14:paraId="4D0A8853">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853" w:type="pct"/>
            <w:shd w:val="clear" w:color="auto" w:fill="auto"/>
            <w:vAlign w:val="center"/>
          </w:tcPr>
          <w:p w14:paraId="281CA867">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414" w:type="pct"/>
            <w:shd w:val="clear" w:color="auto" w:fill="auto"/>
            <w:vAlign w:val="center"/>
          </w:tcPr>
          <w:p w14:paraId="6E753F7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515" w:type="pct"/>
            <w:shd w:val="clear" w:color="auto" w:fill="auto"/>
            <w:vAlign w:val="center"/>
          </w:tcPr>
          <w:p w14:paraId="2311E14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597" w:type="pct"/>
            <w:shd w:val="clear" w:color="auto" w:fill="auto"/>
            <w:vAlign w:val="center"/>
          </w:tcPr>
          <w:p w14:paraId="7FFD0BA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1E8E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065" w:type="pct"/>
            <w:vMerge w:val="continue"/>
            <w:vAlign w:val="center"/>
          </w:tcPr>
          <w:p w14:paraId="466C3B05">
            <w:pPr>
              <w:widowControl/>
              <w:jc w:val="left"/>
              <w:rPr>
                <w:rFonts w:hint="eastAsia" w:cs="宋体" w:asciiTheme="minorEastAsia" w:hAnsiTheme="minorEastAsia" w:eastAsiaTheme="minorEastAsia"/>
                <w:bCs/>
                <w:kern w:val="0"/>
                <w:sz w:val="20"/>
                <w:szCs w:val="20"/>
              </w:rPr>
            </w:pPr>
          </w:p>
        </w:tc>
        <w:tc>
          <w:tcPr>
            <w:tcW w:w="596" w:type="pct"/>
            <w:shd w:val="clear" w:color="auto" w:fill="auto"/>
            <w:vAlign w:val="center"/>
          </w:tcPr>
          <w:p w14:paraId="4121067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478" w:type="pct"/>
            <w:shd w:val="clear" w:color="auto" w:fill="auto"/>
            <w:vAlign w:val="center"/>
          </w:tcPr>
          <w:p w14:paraId="2B028A7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478" w:type="pct"/>
            <w:shd w:val="clear" w:color="auto" w:fill="auto"/>
            <w:vAlign w:val="center"/>
          </w:tcPr>
          <w:p w14:paraId="1B8661F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w:t>
            </w:r>
            <w:r>
              <w:rPr>
                <w:rFonts w:cs="宋体" w:asciiTheme="minorEastAsia" w:hAnsiTheme="minorEastAsia" w:eastAsiaTheme="minorEastAsia"/>
                <w:bCs/>
                <w:kern w:val="0"/>
                <w:sz w:val="20"/>
                <w:szCs w:val="20"/>
              </w:rPr>
              <w:t>.00</w:t>
            </w:r>
          </w:p>
        </w:tc>
        <w:tc>
          <w:tcPr>
            <w:tcW w:w="853" w:type="pct"/>
            <w:shd w:val="clear" w:color="auto" w:fill="auto"/>
            <w:vAlign w:val="center"/>
          </w:tcPr>
          <w:p w14:paraId="0D68910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w:t>
            </w:r>
            <w:r>
              <w:rPr>
                <w:rFonts w:cs="宋体" w:asciiTheme="minorEastAsia" w:hAnsiTheme="minorEastAsia" w:eastAsiaTheme="minorEastAsia"/>
                <w:bCs/>
                <w:kern w:val="0"/>
                <w:sz w:val="20"/>
                <w:szCs w:val="20"/>
              </w:rPr>
              <w:t>.00</w:t>
            </w:r>
          </w:p>
        </w:tc>
        <w:tc>
          <w:tcPr>
            <w:tcW w:w="414" w:type="pct"/>
            <w:shd w:val="clear" w:color="auto" w:fill="auto"/>
            <w:vAlign w:val="center"/>
          </w:tcPr>
          <w:p w14:paraId="7F8F92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5" w:type="pct"/>
            <w:shd w:val="clear" w:color="auto" w:fill="auto"/>
            <w:vAlign w:val="center"/>
          </w:tcPr>
          <w:p w14:paraId="41E6C4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97" w:type="pct"/>
            <w:shd w:val="clear" w:color="auto" w:fill="auto"/>
            <w:vAlign w:val="center"/>
          </w:tcPr>
          <w:p w14:paraId="4D039C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DD6A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065" w:type="pct"/>
            <w:vMerge w:val="continue"/>
            <w:vAlign w:val="center"/>
          </w:tcPr>
          <w:p w14:paraId="494757D5">
            <w:pPr>
              <w:widowControl/>
              <w:jc w:val="left"/>
              <w:rPr>
                <w:rFonts w:hint="eastAsia" w:cs="宋体" w:asciiTheme="minorEastAsia" w:hAnsiTheme="minorEastAsia" w:eastAsiaTheme="minorEastAsia"/>
                <w:bCs/>
                <w:kern w:val="0"/>
                <w:sz w:val="20"/>
                <w:szCs w:val="20"/>
              </w:rPr>
            </w:pPr>
          </w:p>
        </w:tc>
        <w:tc>
          <w:tcPr>
            <w:tcW w:w="596" w:type="pct"/>
            <w:shd w:val="clear" w:color="auto" w:fill="auto"/>
            <w:vAlign w:val="center"/>
          </w:tcPr>
          <w:p w14:paraId="5101751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478" w:type="pct"/>
            <w:shd w:val="clear" w:color="auto" w:fill="auto"/>
            <w:vAlign w:val="center"/>
          </w:tcPr>
          <w:p w14:paraId="3FF711EF">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478" w:type="pct"/>
            <w:shd w:val="clear" w:color="auto" w:fill="auto"/>
            <w:vAlign w:val="center"/>
          </w:tcPr>
          <w:p w14:paraId="0477D857">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853" w:type="pct"/>
            <w:shd w:val="clear" w:color="auto" w:fill="auto"/>
            <w:vAlign w:val="center"/>
          </w:tcPr>
          <w:p w14:paraId="04B34545">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414" w:type="pct"/>
            <w:shd w:val="clear" w:color="auto" w:fill="auto"/>
            <w:vAlign w:val="center"/>
          </w:tcPr>
          <w:p w14:paraId="6C751C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5" w:type="pct"/>
            <w:shd w:val="clear" w:color="auto" w:fill="auto"/>
            <w:vAlign w:val="center"/>
          </w:tcPr>
          <w:p w14:paraId="63CE13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97" w:type="pct"/>
            <w:shd w:val="clear" w:color="auto" w:fill="auto"/>
            <w:vAlign w:val="center"/>
          </w:tcPr>
          <w:p w14:paraId="73D858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DCE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065" w:type="pct"/>
            <w:vMerge w:val="continue"/>
            <w:vAlign w:val="center"/>
          </w:tcPr>
          <w:p w14:paraId="40146321">
            <w:pPr>
              <w:widowControl/>
              <w:jc w:val="left"/>
              <w:rPr>
                <w:rFonts w:hint="eastAsia" w:cs="宋体" w:asciiTheme="minorEastAsia" w:hAnsiTheme="minorEastAsia" w:eastAsiaTheme="minorEastAsia"/>
                <w:bCs/>
                <w:kern w:val="0"/>
                <w:sz w:val="20"/>
                <w:szCs w:val="20"/>
              </w:rPr>
            </w:pPr>
          </w:p>
        </w:tc>
        <w:tc>
          <w:tcPr>
            <w:tcW w:w="596" w:type="pct"/>
            <w:shd w:val="clear" w:color="auto" w:fill="auto"/>
            <w:vAlign w:val="center"/>
          </w:tcPr>
          <w:p w14:paraId="692BB8D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478" w:type="pct"/>
            <w:shd w:val="clear" w:color="auto" w:fill="auto"/>
            <w:vAlign w:val="center"/>
          </w:tcPr>
          <w:p w14:paraId="4D5FC1E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284.59</w:t>
            </w:r>
          </w:p>
        </w:tc>
        <w:tc>
          <w:tcPr>
            <w:tcW w:w="478" w:type="pct"/>
            <w:shd w:val="clear" w:color="auto" w:fill="auto"/>
            <w:vAlign w:val="center"/>
          </w:tcPr>
          <w:p w14:paraId="6D9E05D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237.48</w:t>
            </w:r>
          </w:p>
        </w:tc>
        <w:tc>
          <w:tcPr>
            <w:tcW w:w="853" w:type="pct"/>
            <w:shd w:val="clear" w:color="auto" w:fill="auto"/>
            <w:vAlign w:val="center"/>
          </w:tcPr>
          <w:p w14:paraId="6253FEC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237.48</w:t>
            </w:r>
          </w:p>
        </w:tc>
        <w:tc>
          <w:tcPr>
            <w:tcW w:w="414" w:type="pct"/>
            <w:shd w:val="clear" w:color="auto" w:fill="auto"/>
            <w:vAlign w:val="center"/>
          </w:tcPr>
          <w:p w14:paraId="4B61C5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5" w:type="pct"/>
            <w:shd w:val="clear" w:color="auto" w:fill="auto"/>
            <w:vAlign w:val="center"/>
          </w:tcPr>
          <w:p w14:paraId="00ED20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97" w:type="pct"/>
            <w:shd w:val="clear" w:color="auto" w:fill="auto"/>
            <w:vAlign w:val="center"/>
          </w:tcPr>
          <w:p w14:paraId="2407E4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ADB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065" w:type="pct"/>
            <w:vMerge w:val="continue"/>
            <w:vAlign w:val="center"/>
          </w:tcPr>
          <w:p w14:paraId="4504AB83">
            <w:pPr>
              <w:widowControl/>
              <w:jc w:val="left"/>
              <w:rPr>
                <w:rFonts w:hint="eastAsia" w:cs="宋体" w:asciiTheme="minorEastAsia" w:hAnsiTheme="minorEastAsia" w:eastAsiaTheme="minorEastAsia"/>
                <w:bCs/>
                <w:kern w:val="0"/>
                <w:sz w:val="20"/>
                <w:szCs w:val="20"/>
              </w:rPr>
            </w:pPr>
          </w:p>
        </w:tc>
        <w:tc>
          <w:tcPr>
            <w:tcW w:w="596" w:type="pct"/>
            <w:shd w:val="clear" w:color="auto" w:fill="auto"/>
            <w:vAlign w:val="center"/>
          </w:tcPr>
          <w:p w14:paraId="5F349A0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478" w:type="pct"/>
            <w:shd w:val="clear" w:color="auto" w:fill="auto"/>
            <w:vAlign w:val="center"/>
          </w:tcPr>
          <w:p w14:paraId="0006E049">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478" w:type="pct"/>
            <w:shd w:val="clear" w:color="auto" w:fill="auto"/>
            <w:vAlign w:val="center"/>
          </w:tcPr>
          <w:p w14:paraId="22D6F1CA">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853" w:type="pct"/>
            <w:shd w:val="clear" w:color="auto" w:fill="auto"/>
            <w:vAlign w:val="center"/>
          </w:tcPr>
          <w:p w14:paraId="2B069EBD">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414" w:type="pct"/>
            <w:shd w:val="clear" w:color="auto" w:fill="auto"/>
            <w:vAlign w:val="center"/>
          </w:tcPr>
          <w:p w14:paraId="38047D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5" w:type="pct"/>
            <w:shd w:val="clear" w:color="auto" w:fill="auto"/>
            <w:vAlign w:val="center"/>
          </w:tcPr>
          <w:p w14:paraId="1F478E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97" w:type="pct"/>
            <w:shd w:val="clear" w:color="auto" w:fill="auto"/>
            <w:vAlign w:val="center"/>
          </w:tcPr>
          <w:p w14:paraId="173D04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354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065" w:type="pct"/>
            <w:vMerge w:val="continue"/>
            <w:vAlign w:val="center"/>
          </w:tcPr>
          <w:p w14:paraId="6F3353C5">
            <w:pPr>
              <w:widowControl/>
              <w:jc w:val="left"/>
              <w:rPr>
                <w:rFonts w:hint="eastAsia" w:cs="宋体" w:asciiTheme="minorEastAsia" w:hAnsiTheme="minorEastAsia" w:eastAsiaTheme="minorEastAsia"/>
                <w:bCs/>
                <w:kern w:val="0"/>
                <w:sz w:val="20"/>
                <w:szCs w:val="20"/>
              </w:rPr>
            </w:pPr>
          </w:p>
        </w:tc>
        <w:tc>
          <w:tcPr>
            <w:tcW w:w="596" w:type="pct"/>
            <w:shd w:val="clear" w:color="auto" w:fill="auto"/>
            <w:vAlign w:val="center"/>
          </w:tcPr>
          <w:p w14:paraId="1F219EF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478" w:type="pct"/>
            <w:shd w:val="clear" w:color="auto" w:fill="auto"/>
            <w:vAlign w:val="center"/>
          </w:tcPr>
          <w:p w14:paraId="67DCEB1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284.59</w:t>
            </w:r>
          </w:p>
        </w:tc>
        <w:tc>
          <w:tcPr>
            <w:tcW w:w="478" w:type="pct"/>
            <w:shd w:val="clear" w:color="auto" w:fill="auto"/>
            <w:vAlign w:val="center"/>
          </w:tcPr>
          <w:p w14:paraId="2134688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242.48</w:t>
            </w:r>
          </w:p>
        </w:tc>
        <w:tc>
          <w:tcPr>
            <w:tcW w:w="853" w:type="pct"/>
            <w:shd w:val="clear" w:color="auto" w:fill="auto"/>
            <w:vAlign w:val="center"/>
          </w:tcPr>
          <w:p w14:paraId="729B480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242.48</w:t>
            </w:r>
          </w:p>
        </w:tc>
        <w:tc>
          <w:tcPr>
            <w:tcW w:w="414" w:type="pct"/>
            <w:shd w:val="clear" w:color="auto" w:fill="auto"/>
            <w:vAlign w:val="center"/>
          </w:tcPr>
          <w:p w14:paraId="4A2722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5" w:type="pct"/>
            <w:shd w:val="clear" w:color="auto" w:fill="auto"/>
            <w:vAlign w:val="center"/>
          </w:tcPr>
          <w:p w14:paraId="5A7053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97" w:type="pct"/>
            <w:shd w:val="clear" w:color="auto" w:fill="auto"/>
            <w:vAlign w:val="center"/>
          </w:tcPr>
          <w:p w14:paraId="22521D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B4C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065" w:type="pct"/>
            <w:vMerge w:val="restart"/>
            <w:shd w:val="clear" w:color="auto" w:fill="auto"/>
            <w:vAlign w:val="center"/>
          </w:tcPr>
          <w:p w14:paraId="1FC6267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1553" w:type="pct"/>
            <w:gridSpan w:val="3"/>
            <w:shd w:val="clear" w:color="auto" w:fill="auto"/>
            <w:noWrap/>
            <w:vAlign w:val="center"/>
          </w:tcPr>
          <w:p w14:paraId="0FBD973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2380" w:type="pct"/>
            <w:gridSpan w:val="4"/>
            <w:shd w:val="clear" w:color="auto" w:fill="auto"/>
            <w:noWrap/>
            <w:vAlign w:val="center"/>
          </w:tcPr>
          <w:p w14:paraId="775DF9F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3249B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1065" w:type="pct"/>
            <w:vMerge w:val="continue"/>
            <w:vAlign w:val="center"/>
          </w:tcPr>
          <w:p w14:paraId="5DE08EF0">
            <w:pPr>
              <w:widowControl/>
              <w:jc w:val="left"/>
              <w:rPr>
                <w:rFonts w:hint="eastAsia" w:cs="宋体" w:asciiTheme="minorEastAsia" w:hAnsiTheme="minorEastAsia" w:eastAsiaTheme="minorEastAsia"/>
                <w:bCs/>
                <w:kern w:val="0"/>
                <w:sz w:val="20"/>
                <w:szCs w:val="20"/>
              </w:rPr>
            </w:pPr>
          </w:p>
        </w:tc>
        <w:tc>
          <w:tcPr>
            <w:tcW w:w="1553" w:type="pct"/>
            <w:gridSpan w:val="3"/>
            <w:shd w:val="clear" w:color="auto" w:fill="auto"/>
            <w:vAlign w:val="center"/>
          </w:tcPr>
          <w:p w14:paraId="0AD878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目标1：组织老干部学习新政策，在社会主义物质文明和精神文明建设中发挥作用；做好老干部的管理服务工作。目标2：组织老干部参加老干部党校培训1次</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目标3：关心关爱、慰问离退休老干部及遗孀8人。</w:t>
            </w:r>
          </w:p>
        </w:tc>
        <w:tc>
          <w:tcPr>
            <w:tcW w:w="2380" w:type="pct"/>
            <w:gridSpan w:val="4"/>
            <w:shd w:val="clear" w:color="auto" w:fill="auto"/>
            <w:vAlign w:val="center"/>
          </w:tcPr>
          <w:p w14:paraId="2D8A6B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截至2023年</w:t>
            </w:r>
            <w:r>
              <w:rPr>
                <w:rFonts w:hint="eastAsia" w:cs="宋体" w:asciiTheme="minorEastAsia" w:hAnsiTheme="minorEastAsia" w:eastAsiaTheme="minorEastAsia"/>
                <w:kern w:val="0"/>
                <w:sz w:val="20"/>
                <w:szCs w:val="20"/>
              </w:rPr>
              <w:t>12月底本单位已完成组织老干部学习新政策，在社会主义物质文明和精神文明建设中发挥作用；做好老干部的管理服务工作和组织老干部参加老干部党校培训1次以及关心关爱、慰问离退休老干部及遗孀8人。</w:t>
            </w:r>
          </w:p>
        </w:tc>
      </w:tr>
      <w:tr w14:paraId="75E5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065" w:type="pct"/>
            <w:shd w:val="clear" w:color="auto" w:fill="auto"/>
            <w:vAlign w:val="center"/>
          </w:tcPr>
          <w:p w14:paraId="5239C55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596" w:type="pct"/>
            <w:shd w:val="clear" w:color="auto" w:fill="auto"/>
            <w:vAlign w:val="center"/>
          </w:tcPr>
          <w:p w14:paraId="0D55BB4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478" w:type="pct"/>
            <w:shd w:val="clear" w:color="auto" w:fill="auto"/>
            <w:vAlign w:val="center"/>
          </w:tcPr>
          <w:p w14:paraId="2CFE96F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478" w:type="pct"/>
            <w:shd w:val="clear" w:color="auto" w:fill="auto"/>
            <w:vAlign w:val="center"/>
          </w:tcPr>
          <w:p w14:paraId="3DF26B7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853" w:type="pct"/>
            <w:shd w:val="clear" w:color="auto" w:fill="auto"/>
            <w:vAlign w:val="center"/>
          </w:tcPr>
          <w:p w14:paraId="1811264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414" w:type="pct"/>
            <w:shd w:val="clear" w:color="auto" w:fill="auto"/>
            <w:vAlign w:val="center"/>
          </w:tcPr>
          <w:p w14:paraId="64F6ED5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515" w:type="pct"/>
            <w:shd w:val="clear" w:color="auto" w:fill="auto"/>
            <w:vAlign w:val="center"/>
          </w:tcPr>
          <w:p w14:paraId="6FFB807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597" w:type="pct"/>
            <w:shd w:val="clear" w:color="auto" w:fill="auto"/>
            <w:vAlign w:val="center"/>
          </w:tcPr>
          <w:p w14:paraId="1E7B291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372F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065" w:type="pct"/>
            <w:vMerge w:val="restart"/>
            <w:shd w:val="clear" w:color="auto" w:fill="auto"/>
            <w:vAlign w:val="center"/>
          </w:tcPr>
          <w:p w14:paraId="7AF09A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596" w:type="pct"/>
            <w:vMerge w:val="restart"/>
            <w:shd w:val="clear" w:color="auto" w:fill="auto"/>
            <w:vAlign w:val="center"/>
          </w:tcPr>
          <w:p w14:paraId="7B555C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478" w:type="pct"/>
            <w:shd w:val="clear" w:color="auto" w:fill="auto"/>
            <w:vAlign w:val="center"/>
          </w:tcPr>
          <w:p w14:paraId="14BBE8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478" w:type="pct"/>
            <w:shd w:val="clear" w:color="auto" w:fill="auto"/>
            <w:vAlign w:val="center"/>
          </w:tcPr>
          <w:p w14:paraId="07CF9A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&gt;=6人</w:t>
            </w:r>
          </w:p>
        </w:tc>
        <w:tc>
          <w:tcPr>
            <w:tcW w:w="853" w:type="pct"/>
            <w:shd w:val="clear" w:color="auto" w:fill="auto"/>
            <w:vAlign w:val="center"/>
          </w:tcPr>
          <w:p w14:paraId="427452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中共木垒哈萨克自治县委员会办公室关于印发《中共木垒哈萨克自治县委员会老干部局职能配置、内设机构和人员编制规定》的通知</w:t>
            </w:r>
          </w:p>
        </w:tc>
        <w:tc>
          <w:tcPr>
            <w:tcW w:w="414" w:type="pct"/>
            <w:shd w:val="clear" w:color="auto" w:fill="auto"/>
            <w:vAlign w:val="center"/>
          </w:tcPr>
          <w:p w14:paraId="037E45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515" w:type="pct"/>
            <w:shd w:val="clear" w:color="auto" w:fill="auto"/>
            <w:vAlign w:val="center"/>
          </w:tcPr>
          <w:p w14:paraId="1E44BB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6人</w:t>
            </w:r>
          </w:p>
        </w:tc>
        <w:tc>
          <w:tcPr>
            <w:tcW w:w="597" w:type="pct"/>
            <w:shd w:val="clear" w:color="auto" w:fill="auto"/>
            <w:vAlign w:val="center"/>
          </w:tcPr>
          <w:p w14:paraId="4DE722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5AA1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065" w:type="pct"/>
            <w:vMerge w:val="continue"/>
            <w:vAlign w:val="center"/>
          </w:tcPr>
          <w:p w14:paraId="2EC7EB76">
            <w:pPr>
              <w:widowControl/>
              <w:jc w:val="left"/>
              <w:rPr>
                <w:rFonts w:hint="eastAsia" w:cs="宋体" w:asciiTheme="minorEastAsia" w:hAnsiTheme="minorEastAsia" w:eastAsiaTheme="minorEastAsia"/>
                <w:kern w:val="0"/>
                <w:sz w:val="20"/>
                <w:szCs w:val="20"/>
              </w:rPr>
            </w:pPr>
          </w:p>
        </w:tc>
        <w:tc>
          <w:tcPr>
            <w:tcW w:w="596" w:type="pct"/>
            <w:vMerge w:val="continue"/>
            <w:vAlign w:val="center"/>
          </w:tcPr>
          <w:p w14:paraId="46A0EBFA">
            <w:pPr>
              <w:widowControl/>
              <w:jc w:val="left"/>
              <w:rPr>
                <w:rFonts w:hint="eastAsia" w:cs="宋体" w:asciiTheme="minorEastAsia" w:hAnsiTheme="minorEastAsia" w:eastAsiaTheme="minorEastAsia"/>
                <w:kern w:val="0"/>
                <w:sz w:val="20"/>
                <w:szCs w:val="20"/>
              </w:rPr>
            </w:pPr>
          </w:p>
        </w:tc>
        <w:tc>
          <w:tcPr>
            <w:tcW w:w="478" w:type="pct"/>
            <w:shd w:val="clear" w:color="auto" w:fill="auto"/>
            <w:vAlign w:val="center"/>
          </w:tcPr>
          <w:p w14:paraId="2689B5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478" w:type="pct"/>
            <w:shd w:val="clear" w:color="auto" w:fill="auto"/>
            <w:vAlign w:val="center"/>
          </w:tcPr>
          <w:p w14:paraId="0BF3AE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853" w:type="pct"/>
            <w:shd w:val="clear" w:color="auto" w:fill="auto"/>
            <w:vAlign w:val="center"/>
          </w:tcPr>
          <w:p w14:paraId="1E8405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中共木垒哈萨克自治县委员会办公室关于印发《中共木垒哈萨克自治县委员会老干部局职能配置、内设机构和人员编制规定》的通知</w:t>
            </w:r>
          </w:p>
        </w:tc>
        <w:tc>
          <w:tcPr>
            <w:tcW w:w="414" w:type="pct"/>
            <w:shd w:val="clear" w:color="auto" w:fill="auto"/>
            <w:vAlign w:val="center"/>
          </w:tcPr>
          <w:p w14:paraId="49DB40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515" w:type="pct"/>
            <w:shd w:val="clear" w:color="auto" w:fill="auto"/>
            <w:vAlign w:val="center"/>
          </w:tcPr>
          <w:p w14:paraId="7B4649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597" w:type="pct"/>
            <w:shd w:val="clear" w:color="auto" w:fill="auto"/>
            <w:vAlign w:val="center"/>
          </w:tcPr>
          <w:p w14:paraId="527481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0EB6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065" w:type="pct"/>
            <w:vMerge w:val="restart"/>
            <w:shd w:val="clear" w:color="auto" w:fill="auto"/>
            <w:vAlign w:val="center"/>
          </w:tcPr>
          <w:p w14:paraId="025F1F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596" w:type="pct"/>
            <w:vMerge w:val="continue"/>
            <w:vAlign w:val="center"/>
          </w:tcPr>
          <w:p w14:paraId="16474AF0">
            <w:pPr>
              <w:widowControl/>
              <w:jc w:val="left"/>
              <w:rPr>
                <w:rFonts w:hint="eastAsia" w:cs="宋体" w:asciiTheme="minorEastAsia" w:hAnsiTheme="minorEastAsia" w:eastAsiaTheme="minorEastAsia"/>
                <w:kern w:val="0"/>
                <w:sz w:val="20"/>
                <w:szCs w:val="20"/>
              </w:rPr>
            </w:pPr>
          </w:p>
        </w:tc>
        <w:tc>
          <w:tcPr>
            <w:tcW w:w="478" w:type="pct"/>
            <w:shd w:val="clear" w:color="auto" w:fill="auto"/>
            <w:vAlign w:val="center"/>
          </w:tcPr>
          <w:p w14:paraId="481294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组织老干部文艺活动</w:t>
            </w:r>
          </w:p>
        </w:tc>
        <w:tc>
          <w:tcPr>
            <w:tcW w:w="478" w:type="pct"/>
            <w:shd w:val="clear" w:color="auto" w:fill="auto"/>
            <w:vAlign w:val="center"/>
          </w:tcPr>
          <w:p w14:paraId="0BE490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&gt;=10次</w:t>
            </w:r>
          </w:p>
        </w:tc>
        <w:tc>
          <w:tcPr>
            <w:tcW w:w="853" w:type="pct"/>
            <w:shd w:val="clear" w:color="auto" w:fill="auto"/>
            <w:vAlign w:val="center"/>
          </w:tcPr>
          <w:p w14:paraId="5A820E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w:t>
            </w:r>
            <w:r>
              <w:rPr>
                <w:rFonts w:hint="eastAsia" w:cs="宋体" w:asciiTheme="minorEastAsia" w:hAnsiTheme="minorEastAsia" w:eastAsiaTheme="minorEastAsia"/>
                <w:kern w:val="0"/>
                <w:sz w:val="20"/>
                <w:szCs w:val="20"/>
                <w:lang w:eastAsia="zh-CN"/>
              </w:rPr>
              <w:t>老干部局</w:t>
            </w:r>
            <w:r>
              <w:rPr>
                <w:rFonts w:hint="eastAsia" w:cs="宋体" w:asciiTheme="minorEastAsia" w:hAnsiTheme="minorEastAsia" w:eastAsiaTheme="minorEastAsia"/>
                <w:kern w:val="0"/>
                <w:sz w:val="20"/>
                <w:szCs w:val="20"/>
              </w:rPr>
              <w:t>2023年工作计划</w:t>
            </w:r>
          </w:p>
        </w:tc>
        <w:tc>
          <w:tcPr>
            <w:tcW w:w="414" w:type="pct"/>
            <w:shd w:val="clear" w:color="auto" w:fill="auto"/>
            <w:vAlign w:val="center"/>
          </w:tcPr>
          <w:p w14:paraId="4A7BED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515" w:type="pct"/>
            <w:shd w:val="clear" w:color="auto" w:fill="auto"/>
            <w:vAlign w:val="center"/>
          </w:tcPr>
          <w:p w14:paraId="0F516C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10次</w:t>
            </w:r>
          </w:p>
        </w:tc>
        <w:tc>
          <w:tcPr>
            <w:tcW w:w="597" w:type="pct"/>
            <w:shd w:val="clear" w:color="auto" w:fill="auto"/>
            <w:vAlign w:val="center"/>
          </w:tcPr>
          <w:p w14:paraId="41CDC9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57B6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065" w:type="pct"/>
            <w:vMerge w:val="continue"/>
            <w:vAlign w:val="center"/>
          </w:tcPr>
          <w:p w14:paraId="1B6D3D64">
            <w:pPr>
              <w:widowControl/>
              <w:jc w:val="left"/>
              <w:rPr>
                <w:rFonts w:hint="eastAsia" w:cs="宋体" w:asciiTheme="minorEastAsia" w:hAnsiTheme="minorEastAsia" w:eastAsiaTheme="minorEastAsia"/>
                <w:kern w:val="0"/>
                <w:sz w:val="20"/>
                <w:szCs w:val="20"/>
              </w:rPr>
            </w:pPr>
          </w:p>
        </w:tc>
        <w:tc>
          <w:tcPr>
            <w:tcW w:w="596" w:type="pct"/>
            <w:vMerge w:val="continue"/>
            <w:vAlign w:val="center"/>
          </w:tcPr>
          <w:p w14:paraId="48D8E2B2">
            <w:pPr>
              <w:widowControl/>
              <w:jc w:val="left"/>
              <w:rPr>
                <w:rFonts w:hint="eastAsia" w:cs="宋体" w:asciiTheme="minorEastAsia" w:hAnsiTheme="minorEastAsia" w:eastAsiaTheme="minorEastAsia"/>
                <w:kern w:val="0"/>
                <w:sz w:val="20"/>
                <w:szCs w:val="20"/>
              </w:rPr>
            </w:pPr>
          </w:p>
        </w:tc>
        <w:tc>
          <w:tcPr>
            <w:tcW w:w="478" w:type="pct"/>
            <w:shd w:val="clear" w:color="auto" w:fill="auto"/>
            <w:vAlign w:val="center"/>
          </w:tcPr>
          <w:p w14:paraId="437D97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开展全县老干部送学活动</w:t>
            </w:r>
          </w:p>
        </w:tc>
        <w:tc>
          <w:tcPr>
            <w:tcW w:w="478" w:type="pct"/>
            <w:shd w:val="clear" w:color="auto" w:fill="auto"/>
            <w:vAlign w:val="center"/>
          </w:tcPr>
          <w:p w14:paraId="442776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&gt;=1次</w:t>
            </w:r>
          </w:p>
        </w:tc>
        <w:tc>
          <w:tcPr>
            <w:tcW w:w="853" w:type="pct"/>
            <w:shd w:val="clear" w:color="auto" w:fill="auto"/>
            <w:vAlign w:val="center"/>
          </w:tcPr>
          <w:p w14:paraId="38EDC2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w:t>
            </w:r>
            <w:r>
              <w:rPr>
                <w:rFonts w:hint="eastAsia" w:cs="宋体" w:asciiTheme="minorEastAsia" w:hAnsiTheme="minorEastAsia" w:eastAsiaTheme="minorEastAsia"/>
                <w:kern w:val="0"/>
                <w:sz w:val="20"/>
                <w:szCs w:val="20"/>
                <w:lang w:eastAsia="zh-CN"/>
              </w:rPr>
              <w:t>老干部局</w:t>
            </w:r>
            <w:r>
              <w:rPr>
                <w:rFonts w:hint="eastAsia" w:cs="宋体" w:asciiTheme="minorEastAsia" w:hAnsiTheme="minorEastAsia" w:eastAsiaTheme="minorEastAsia"/>
                <w:kern w:val="0"/>
                <w:sz w:val="20"/>
                <w:szCs w:val="20"/>
              </w:rPr>
              <w:t>2023年工作计划</w:t>
            </w:r>
          </w:p>
        </w:tc>
        <w:tc>
          <w:tcPr>
            <w:tcW w:w="414" w:type="pct"/>
            <w:shd w:val="clear" w:color="auto" w:fill="auto"/>
            <w:vAlign w:val="center"/>
          </w:tcPr>
          <w:p w14:paraId="14473D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515" w:type="pct"/>
            <w:shd w:val="clear" w:color="auto" w:fill="auto"/>
            <w:vAlign w:val="center"/>
          </w:tcPr>
          <w:p w14:paraId="0C1273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597" w:type="pct"/>
            <w:shd w:val="clear" w:color="auto" w:fill="auto"/>
            <w:vAlign w:val="center"/>
          </w:tcPr>
          <w:p w14:paraId="3AE0A8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399C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065" w:type="pct"/>
            <w:vMerge w:val="continue"/>
            <w:vAlign w:val="center"/>
          </w:tcPr>
          <w:p w14:paraId="16DD6B4C">
            <w:pPr>
              <w:widowControl/>
              <w:jc w:val="left"/>
              <w:rPr>
                <w:rFonts w:hint="eastAsia" w:cs="宋体" w:asciiTheme="minorEastAsia" w:hAnsiTheme="minorEastAsia" w:eastAsiaTheme="minorEastAsia"/>
                <w:kern w:val="0"/>
                <w:sz w:val="20"/>
                <w:szCs w:val="20"/>
              </w:rPr>
            </w:pPr>
          </w:p>
        </w:tc>
        <w:tc>
          <w:tcPr>
            <w:tcW w:w="596" w:type="pct"/>
            <w:shd w:val="clear" w:color="auto" w:fill="auto"/>
            <w:vAlign w:val="center"/>
          </w:tcPr>
          <w:p w14:paraId="4769F0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478" w:type="pct"/>
            <w:shd w:val="clear" w:color="auto" w:fill="auto"/>
            <w:vAlign w:val="center"/>
          </w:tcPr>
          <w:p w14:paraId="4629A6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活动开展成功率</w:t>
            </w:r>
          </w:p>
        </w:tc>
        <w:tc>
          <w:tcPr>
            <w:tcW w:w="478" w:type="pct"/>
            <w:shd w:val="clear" w:color="auto" w:fill="auto"/>
            <w:vAlign w:val="center"/>
          </w:tcPr>
          <w:p w14:paraId="46D781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853" w:type="pct"/>
            <w:shd w:val="clear" w:color="auto" w:fill="auto"/>
            <w:vAlign w:val="center"/>
          </w:tcPr>
          <w:p w14:paraId="547CD9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w:t>
            </w:r>
            <w:r>
              <w:rPr>
                <w:rFonts w:hint="eastAsia" w:cs="宋体" w:asciiTheme="minorEastAsia" w:hAnsiTheme="minorEastAsia" w:eastAsiaTheme="minorEastAsia"/>
                <w:kern w:val="0"/>
                <w:sz w:val="20"/>
                <w:szCs w:val="20"/>
                <w:lang w:eastAsia="zh-CN"/>
              </w:rPr>
              <w:t>老干部局</w:t>
            </w:r>
            <w:r>
              <w:rPr>
                <w:rFonts w:hint="eastAsia" w:cs="宋体" w:asciiTheme="minorEastAsia" w:hAnsiTheme="minorEastAsia" w:eastAsiaTheme="minorEastAsia"/>
                <w:kern w:val="0"/>
                <w:sz w:val="20"/>
                <w:szCs w:val="20"/>
              </w:rPr>
              <w:t>2023年工作计划</w:t>
            </w:r>
          </w:p>
        </w:tc>
        <w:tc>
          <w:tcPr>
            <w:tcW w:w="414" w:type="pct"/>
            <w:shd w:val="clear" w:color="auto" w:fill="auto"/>
            <w:vAlign w:val="center"/>
          </w:tcPr>
          <w:p w14:paraId="54B4EB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515" w:type="pct"/>
            <w:shd w:val="clear" w:color="auto" w:fill="auto"/>
            <w:vAlign w:val="center"/>
          </w:tcPr>
          <w:p w14:paraId="3BC5C3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597" w:type="pct"/>
            <w:shd w:val="clear" w:color="auto" w:fill="auto"/>
            <w:vAlign w:val="center"/>
          </w:tcPr>
          <w:p w14:paraId="2CFB23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20A69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065" w:type="pct"/>
            <w:vMerge w:val="continue"/>
            <w:vAlign w:val="center"/>
          </w:tcPr>
          <w:p w14:paraId="419262A3">
            <w:pPr>
              <w:widowControl/>
              <w:jc w:val="left"/>
              <w:rPr>
                <w:rFonts w:hint="eastAsia" w:cs="宋体" w:asciiTheme="minorEastAsia" w:hAnsiTheme="minorEastAsia" w:eastAsiaTheme="minorEastAsia"/>
                <w:kern w:val="0"/>
                <w:sz w:val="20"/>
                <w:szCs w:val="20"/>
              </w:rPr>
            </w:pPr>
          </w:p>
        </w:tc>
        <w:tc>
          <w:tcPr>
            <w:tcW w:w="596" w:type="pct"/>
            <w:shd w:val="clear" w:color="auto" w:fill="auto"/>
            <w:vAlign w:val="center"/>
          </w:tcPr>
          <w:p w14:paraId="27DEDA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478" w:type="pct"/>
            <w:shd w:val="clear" w:color="auto" w:fill="auto"/>
            <w:vAlign w:val="center"/>
          </w:tcPr>
          <w:p w14:paraId="2B80F2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老干部报刊送学时间</w:t>
            </w:r>
          </w:p>
        </w:tc>
        <w:tc>
          <w:tcPr>
            <w:tcW w:w="478" w:type="pct"/>
            <w:shd w:val="clear" w:color="auto" w:fill="auto"/>
            <w:vAlign w:val="center"/>
          </w:tcPr>
          <w:p w14:paraId="0CDEAB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&gt;=1年</w:t>
            </w:r>
          </w:p>
        </w:tc>
        <w:tc>
          <w:tcPr>
            <w:tcW w:w="853" w:type="pct"/>
            <w:shd w:val="clear" w:color="auto" w:fill="auto"/>
            <w:vAlign w:val="center"/>
          </w:tcPr>
          <w:p w14:paraId="5572E0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w:t>
            </w:r>
            <w:r>
              <w:rPr>
                <w:rFonts w:hint="eastAsia" w:cs="宋体" w:asciiTheme="minorEastAsia" w:hAnsiTheme="minorEastAsia" w:eastAsiaTheme="minorEastAsia"/>
                <w:kern w:val="0"/>
                <w:sz w:val="20"/>
                <w:szCs w:val="20"/>
                <w:lang w:eastAsia="zh-CN"/>
              </w:rPr>
              <w:t>老干部局</w:t>
            </w:r>
            <w:r>
              <w:rPr>
                <w:rFonts w:hint="eastAsia" w:cs="宋体" w:asciiTheme="minorEastAsia" w:hAnsiTheme="minorEastAsia" w:eastAsiaTheme="minorEastAsia"/>
                <w:kern w:val="0"/>
                <w:sz w:val="20"/>
                <w:szCs w:val="20"/>
              </w:rPr>
              <w:t>2023年工作计划</w:t>
            </w:r>
          </w:p>
        </w:tc>
        <w:tc>
          <w:tcPr>
            <w:tcW w:w="414" w:type="pct"/>
            <w:shd w:val="clear" w:color="auto" w:fill="auto"/>
            <w:vAlign w:val="center"/>
          </w:tcPr>
          <w:p w14:paraId="3311B0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515" w:type="pct"/>
            <w:shd w:val="clear" w:color="auto" w:fill="auto"/>
            <w:vAlign w:val="center"/>
          </w:tcPr>
          <w:p w14:paraId="48BB28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1年</w:t>
            </w:r>
          </w:p>
        </w:tc>
        <w:tc>
          <w:tcPr>
            <w:tcW w:w="597" w:type="pct"/>
            <w:shd w:val="clear" w:color="auto" w:fill="auto"/>
            <w:vAlign w:val="center"/>
          </w:tcPr>
          <w:p w14:paraId="4F12D5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2EA8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065" w:type="pct"/>
            <w:vMerge w:val="restart"/>
            <w:shd w:val="clear" w:color="auto" w:fill="auto"/>
            <w:vAlign w:val="center"/>
          </w:tcPr>
          <w:p w14:paraId="313682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596" w:type="pct"/>
            <w:vMerge w:val="restart"/>
            <w:shd w:val="clear" w:color="auto" w:fill="auto"/>
            <w:vAlign w:val="center"/>
          </w:tcPr>
          <w:p w14:paraId="134509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478" w:type="pct"/>
            <w:shd w:val="clear" w:color="auto" w:fill="auto"/>
            <w:vAlign w:val="center"/>
          </w:tcPr>
          <w:p w14:paraId="5A8B61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走访慰问异地安置离休干部</w:t>
            </w:r>
          </w:p>
        </w:tc>
        <w:tc>
          <w:tcPr>
            <w:tcW w:w="478" w:type="pct"/>
            <w:shd w:val="clear" w:color="auto" w:fill="auto"/>
            <w:vAlign w:val="center"/>
          </w:tcPr>
          <w:p w14:paraId="3017F8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&gt;=6次</w:t>
            </w:r>
          </w:p>
        </w:tc>
        <w:tc>
          <w:tcPr>
            <w:tcW w:w="853" w:type="pct"/>
            <w:shd w:val="clear" w:color="auto" w:fill="auto"/>
            <w:vAlign w:val="center"/>
          </w:tcPr>
          <w:p w14:paraId="229FAE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w:t>
            </w:r>
            <w:r>
              <w:rPr>
                <w:rFonts w:hint="eastAsia" w:cs="宋体" w:asciiTheme="minorEastAsia" w:hAnsiTheme="minorEastAsia" w:eastAsiaTheme="minorEastAsia"/>
                <w:kern w:val="0"/>
                <w:sz w:val="20"/>
                <w:szCs w:val="20"/>
                <w:lang w:eastAsia="zh-CN"/>
              </w:rPr>
              <w:t>老干部局</w:t>
            </w:r>
            <w:r>
              <w:rPr>
                <w:rFonts w:hint="eastAsia" w:cs="宋体" w:asciiTheme="minorEastAsia" w:hAnsiTheme="minorEastAsia" w:eastAsiaTheme="minorEastAsia"/>
                <w:kern w:val="0"/>
                <w:sz w:val="20"/>
                <w:szCs w:val="20"/>
              </w:rPr>
              <w:t>2023年工作计划</w:t>
            </w:r>
          </w:p>
        </w:tc>
        <w:tc>
          <w:tcPr>
            <w:tcW w:w="414" w:type="pct"/>
            <w:shd w:val="clear" w:color="auto" w:fill="auto"/>
            <w:vAlign w:val="center"/>
          </w:tcPr>
          <w:p w14:paraId="6302A0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515" w:type="pct"/>
            <w:shd w:val="clear" w:color="auto" w:fill="auto"/>
            <w:vAlign w:val="center"/>
          </w:tcPr>
          <w:p w14:paraId="76D361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6次</w:t>
            </w:r>
          </w:p>
        </w:tc>
        <w:tc>
          <w:tcPr>
            <w:tcW w:w="597" w:type="pct"/>
            <w:shd w:val="clear" w:color="auto" w:fill="auto"/>
            <w:vAlign w:val="center"/>
          </w:tcPr>
          <w:p w14:paraId="26553A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261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065" w:type="pct"/>
            <w:vMerge w:val="continue"/>
            <w:vAlign w:val="center"/>
          </w:tcPr>
          <w:p w14:paraId="1101E34F">
            <w:pPr>
              <w:widowControl/>
              <w:jc w:val="left"/>
              <w:rPr>
                <w:rFonts w:hint="eastAsia" w:cs="宋体" w:asciiTheme="minorEastAsia" w:hAnsiTheme="minorEastAsia" w:eastAsiaTheme="minorEastAsia"/>
                <w:kern w:val="0"/>
                <w:sz w:val="20"/>
                <w:szCs w:val="20"/>
              </w:rPr>
            </w:pPr>
          </w:p>
        </w:tc>
        <w:tc>
          <w:tcPr>
            <w:tcW w:w="596" w:type="pct"/>
            <w:vMerge w:val="continue"/>
            <w:vAlign w:val="center"/>
          </w:tcPr>
          <w:p w14:paraId="1079FBEF">
            <w:pPr>
              <w:widowControl/>
              <w:jc w:val="left"/>
              <w:rPr>
                <w:rFonts w:hint="eastAsia" w:cs="宋体" w:asciiTheme="minorEastAsia" w:hAnsiTheme="minorEastAsia" w:eastAsiaTheme="minorEastAsia"/>
                <w:kern w:val="0"/>
                <w:sz w:val="20"/>
                <w:szCs w:val="20"/>
              </w:rPr>
            </w:pPr>
          </w:p>
        </w:tc>
        <w:tc>
          <w:tcPr>
            <w:tcW w:w="478" w:type="pct"/>
            <w:shd w:val="clear" w:color="auto" w:fill="auto"/>
            <w:vAlign w:val="center"/>
          </w:tcPr>
          <w:p w14:paraId="32C2B6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帮扶特困离休干部及遗孀</w:t>
            </w:r>
          </w:p>
        </w:tc>
        <w:tc>
          <w:tcPr>
            <w:tcW w:w="478" w:type="pct"/>
            <w:shd w:val="clear" w:color="auto" w:fill="auto"/>
            <w:vAlign w:val="center"/>
          </w:tcPr>
          <w:p w14:paraId="72CFBD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&gt;=8人</w:t>
            </w:r>
          </w:p>
        </w:tc>
        <w:tc>
          <w:tcPr>
            <w:tcW w:w="853" w:type="pct"/>
            <w:shd w:val="clear" w:color="auto" w:fill="auto"/>
            <w:vAlign w:val="center"/>
          </w:tcPr>
          <w:p w14:paraId="26B37B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w:t>
            </w:r>
            <w:r>
              <w:rPr>
                <w:rFonts w:hint="eastAsia" w:cs="宋体" w:asciiTheme="minorEastAsia" w:hAnsiTheme="minorEastAsia" w:eastAsiaTheme="minorEastAsia"/>
                <w:kern w:val="0"/>
                <w:sz w:val="20"/>
                <w:szCs w:val="20"/>
                <w:lang w:eastAsia="zh-CN"/>
              </w:rPr>
              <w:t>老干部局</w:t>
            </w:r>
            <w:r>
              <w:rPr>
                <w:rFonts w:hint="eastAsia" w:cs="宋体" w:asciiTheme="minorEastAsia" w:hAnsiTheme="minorEastAsia" w:eastAsiaTheme="minorEastAsia"/>
                <w:kern w:val="0"/>
                <w:sz w:val="20"/>
                <w:szCs w:val="20"/>
              </w:rPr>
              <w:t>2023年工作计划</w:t>
            </w:r>
          </w:p>
        </w:tc>
        <w:tc>
          <w:tcPr>
            <w:tcW w:w="414" w:type="pct"/>
            <w:shd w:val="clear" w:color="auto" w:fill="auto"/>
            <w:vAlign w:val="center"/>
          </w:tcPr>
          <w:p w14:paraId="4E8D7B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515" w:type="pct"/>
            <w:shd w:val="clear" w:color="auto" w:fill="auto"/>
            <w:vAlign w:val="center"/>
          </w:tcPr>
          <w:p w14:paraId="24D18B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8人</w:t>
            </w:r>
          </w:p>
        </w:tc>
        <w:tc>
          <w:tcPr>
            <w:tcW w:w="597" w:type="pct"/>
            <w:shd w:val="clear" w:color="auto" w:fill="auto"/>
            <w:vAlign w:val="center"/>
          </w:tcPr>
          <w:p w14:paraId="15F2FE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bl>
    <w:p w14:paraId="7D6E9FA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855"/>
        <w:gridCol w:w="1724"/>
        <w:gridCol w:w="692"/>
        <w:gridCol w:w="816"/>
        <w:gridCol w:w="848"/>
        <w:gridCol w:w="958"/>
        <w:gridCol w:w="164"/>
        <w:gridCol w:w="402"/>
        <w:gridCol w:w="515"/>
        <w:gridCol w:w="716"/>
      </w:tblGrid>
      <w:tr w14:paraId="6DCB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2"/>
            <w:shd w:val="clear" w:color="auto" w:fill="auto"/>
            <w:vAlign w:val="center"/>
          </w:tcPr>
          <w:p w14:paraId="17F003B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AC7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2"/>
            <w:shd w:val="clear" w:color="auto" w:fill="auto"/>
            <w:vAlign w:val="center"/>
          </w:tcPr>
          <w:p w14:paraId="2DDEE36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2023年度</w:t>
            </w:r>
            <w:r>
              <w:rPr>
                <w:rFonts w:hint="eastAsia" w:ascii="宋体" w:hAnsi="宋体" w:cs="宋体"/>
                <w:color w:val="000000"/>
                <w:kern w:val="0"/>
                <w:sz w:val="20"/>
                <w:szCs w:val="20"/>
                <w:lang w:eastAsia="zh-CN"/>
              </w:rPr>
              <w:t>）</w:t>
            </w:r>
          </w:p>
        </w:tc>
      </w:tr>
      <w:tr w14:paraId="64B04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390C5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0"/>
            <w:shd w:val="clear" w:color="auto" w:fill="auto"/>
            <w:vAlign w:val="center"/>
          </w:tcPr>
          <w:p w14:paraId="2ABB0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木垒县老干部芦河松新疆曲子传承社活动补助经费</w:t>
            </w:r>
          </w:p>
        </w:tc>
      </w:tr>
      <w:tr w14:paraId="5FA5F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5A037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98" w:type="pct"/>
            <w:gridSpan w:val="4"/>
            <w:shd w:val="clear" w:color="auto" w:fill="auto"/>
            <w:vAlign w:val="center"/>
          </w:tcPr>
          <w:p w14:paraId="51B51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w:t>
            </w:r>
            <w:r>
              <w:rPr>
                <w:rFonts w:hint="eastAsia" w:ascii="宋体" w:hAnsi="宋体" w:cs="宋体"/>
                <w:color w:val="000000"/>
                <w:kern w:val="0"/>
                <w:sz w:val="20"/>
                <w:szCs w:val="20"/>
                <w:lang w:eastAsia="zh-CN"/>
              </w:rPr>
              <w:t>老干部局</w:t>
            </w:r>
          </w:p>
        </w:tc>
        <w:tc>
          <w:tcPr>
            <w:tcW w:w="496" w:type="pct"/>
            <w:shd w:val="clear" w:color="auto" w:fill="auto"/>
            <w:vAlign w:val="center"/>
          </w:tcPr>
          <w:p w14:paraId="2A405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616" w:type="pct"/>
            <w:gridSpan w:val="5"/>
            <w:shd w:val="clear" w:color="auto" w:fill="auto"/>
            <w:vAlign w:val="center"/>
          </w:tcPr>
          <w:p w14:paraId="00D75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w:t>
            </w:r>
            <w:r>
              <w:rPr>
                <w:rFonts w:hint="eastAsia" w:ascii="宋体" w:hAnsi="宋体" w:cs="宋体"/>
                <w:color w:val="000000"/>
                <w:kern w:val="0"/>
                <w:sz w:val="20"/>
                <w:szCs w:val="20"/>
                <w:lang w:eastAsia="zh-CN"/>
              </w:rPr>
              <w:t>老干部局</w:t>
            </w:r>
          </w:p>
        </w:tc>
      </w:tr>
      <w:tr w14:paraId="53E1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7D9F6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02" w:type="pct"/>
            <w:shd w:val="clear" w:color="auto" w:fill="auto"/>
            <w:vAlign w:val="center"/>
          </w:tcPr>
          <w:p w14:paraId="67A68EA7">
            <w:pPr>
              <w:widowControl/>
              <w:jc w:val="center"/>
              <w:rPr>
                <w:rFonts w:hint="eastAsia" w:ascii="宋体" w:hAnsi="宋体" w:cs="宋体"/>
                <w:color w:val="000000"/>
                <w:kern w:val="0"/>
                <w:sz w:val="20"/>
                <w:szCs w:val="20"/>
              </w:rPr>
            </w:pPr>
          </w:p>
        </w:tc>
        <w:tc>
          <w:tcPr>
            <w:tcW w:w="1011" w:type="pct"/>
            <w:shd w:val="clear" w:color="auto" w:fill="auto"/>
            <w:vAlign w:val="center"/>
          </w:tcPr>
          <w:p w14:paraId="7BBB9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84" w:type="pct"/>
            <w:gridSpan w:val="2"/>
            <w:shd w:val="clear" w:color="auto" w:fill="auto"/>
            <w:vAlign w:val="center"/>
          </w:tcPr>
          <w:p w14:paraId="66AEF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96" w:type="pct"/>
            <w:shd w:val="clear" w:color="auto" w:fill="auto"/>
            <w:vAlign w:val="center"/>
          </w:tcPr>
          <w:p w14:paraId="60869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8" w:type="pct"/>
            <w:gridSpan w:val="2"/>
            <w:shd w:val="clear" w:color="auto" w:fill="auto"/>
            <w:vAlign w:val="center"/>
          </w:tcPr>
          <w:p w14:paraId="25C1B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134D5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19A7C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B97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00A0C00D">
            <w:pPr>
              <w:widowControl/>
              <w:jc w:val="left"/>
              <w:rPr>
                <w:rFonts w:hint="eastAsia" w:ascii="宋体" w:hAnsi="宋体" w:cs="宋体"/>
                <w:color w:val="000000"/>
                <w:kern w:val="0"/>
                <w:sz w:val="20"/>
                <w:szCs w:val="20"/>
              </w:rPr>
            </w:pPr>
          </w:p>
        </w:tc>
        <w:tc>
          <w:tcPr>
            <w:tcW w:w="502" w:type="pct"/>
            <w:shd w:val="clear" w:color="auto" w:fill="auto"/>
            <w:vAlign w:val="center"/>
          </w:tcPr>
          <w:p w14:paraId="31F47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11" w:type="pct"/>
            <w:shd w:val="clear" w:color="auto" w:fill="auto"/>
            <w:vAlign w:val="center"/>
          </w:tcPr>
          <w:p w14:paraId="0A012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84" w:type="pct"/>
            <w:gridSpan w:val="2"/>
            <w:shd w:val="clear" w:color="auto" w:fill="auto"/>
            <w:vAlign w:val="center"/>
          </w:tcPr>
          <w:p w14:paraId="6A2F1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496" w:type="pct"/>
            <w:shd w:val="clear" w:color="auto" w:fill="auto"/>
            <w:vAlign w:val="center"/>
          </w:tcPr>
          <w:p w14:paraId="2C9D1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8" w:type="pct"/>
            <w:gridSpan w:val="2"/>
            <w:shd w:val="clear" w:color="auto" w:fill="auto"/>
            <w:vAlign w:val="center"/>
          </w:tcPr>
          <w:p w14:paraId="20E88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12B13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32F4F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6A8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7DEDA689">
            <w:pPr>
              <w:widowControl/>
              <w:jc w:val="left"/>
              <w:rPr>
                <w:rFonts w:hint="eastAsia" w:ascii="宋体" w:hAnsi="宋体" w:cs="宋体"/>
                <w:color w:val="000000"/>
                <w:kern w:val="0"/>
                <w:sz w:val="20"/>
                <w:szCs w:val="20"/>
              </w:rPr>
            </w:pPr>
          </w:p>
        </w:tc>
        <w:tc>
          <w:tcPr>
            <w:tcW w:w="502" w:type="pct"/>
            <w:shd w:val="clear" w:color="auto" w:fill="auto"/>
            <w:vAlign w:val="center"/>
          </w:tcPr>
          <w:p w14:paraId="211AB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11" w:type="pct"/>
            <w:shd w:val="clear" w:color="auto" w:fill="auto"/>
            <w:vAlign w:val="center"/>
          </w:tcPr>
          <w:p w14:paraId="1A0EA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84" w:type="pct"/>
            <w:gridSpan w:val="2"/>
            <w:shd w:val="clear" w:color="auto" w:fill="auto"/>
            <w:vAlign w:val="center"/>
          </w:tcPr>
          <w:p w14:paraId="3FD83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496" w:type="pct"/>
            <w:shd w:val="clear" w:color="auto" w:fill="auto"/>
            <w:vAlign w:val="center"/>
          </w:tcPr>
          <w:p w14:paraId="645D9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8" w:type="pct"/>
            <w:gridSpan w:val="2"/>
            <w:shd w:val="clear" w:color="auto" w:fill="auto"/>
            <w:vAlign w:val="center"/>
          </w:tcPr>
          <w:p w14:paraId="763A0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2A943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12C55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5A1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0AAE409">
            <w:pPr>
              <w:widowControl/>
              <w:jc w:val="left"/>
              <w:rPr>
                <w:rFonts w:hint="eastAsia" w:ascii="宋体" w:hAnsi="宋体" w:cs="宋体"/>
                <w:color w:val="000000"/>
                <w:kern w:val="0"/>
                <w:sz w:val="20"/>
                <w:szCs w:val="20"/>
              </w:rPr>
            </w:pPr>
          </w:p>
        </w:tc>
        <w:tc>
          <w:tcPr>
            <w:tcW w:w="502" w:type="pct"/>
            <w:shd w:val="clear" w:color="auto" w:fill="auto"/>
            <w:vAlign w:val="center"/>
          </w:tcPr>
          <w:p w14:paraId="06FAD6EF">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11" w:type="pct"/>
            <w:shd w:val="clear" w:color="auto" w:fill="auto"/>
            <w:vAlign w:val="center"/>
          </w:tcPr>
          <w:p w14:paraId="6014420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84" w:type="pct"/>
            <w:gridSpan w:val="2"/>
            <w:shd w:val="clear" w:color="auto" w:fill="auto"/>
            <w:vAlign w:val="center"/>
          </w:tcPr>
          <w:p w14:paraId="0434D62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96" w:type="pct"/>
            <w:shd w:val="clear" w:color="auto" w:fill="auto"/>
            <w:vAlign w:val="center"/>
          </w:tcPr>
          <w:p w14:paraId="7A08CCC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58" w:type="pct"/>
            <w:gridSpan w:val="2"/>
            <w:shd w:val="clear" w:color="auto" w:fill="auto"/>
            <w:vAlign w:val="center"/>
          </w:tcPr>
          <w:p w14:paraId="3EA46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45280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2C8AD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CC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4B50A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42" w:type="pct"/>
            <w:gridSpan w:val="5"/>
            <w:shd w:val="clear" w:color="auto" w:fill="auto"/>
            <w:vAlign w:val="center"/>
          </w:tcPr>
          <w:p w14:paraId="710AD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13" w:type="pct"/>
            <w:gridSpan w:val="6"/>
            <w:shd w:val="clear" w:color="auto" w:fill="auto"/>
            <w:vAlign w:val="center"/>
          </w:tcPr>
          <w:p w14:paraId="48003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AD1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7348C9F3">
            <w:pPr>
              <w:widowControl/>
              <w:jc w:val="left"/>
              <w:rPr>
                <w:rFonts w:hint="eastAsia" w:ascii="宋体" w:hAnsi="宋体" w:cs="宋体"/>
                <w:color w:val="000000"/>
                <w:kern w:val="0"/>
                <w:sz w:val="20"/>
                <w:szCs w:val="20"/>
              </w:rPr>
            </w:pPr>
          </w:p>
        </w:tc>
        <w:tc>
          <w:tcPr>
            <w:tcW w:w="2642" w:type="pct"/>
            <w:gridSpan w:val="5"/>
            <w:shd w:val="clear" w:color="auto" w:fill="auto"/>
          </w:tcPr>
          <w:p w14:paraId="4A7863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w:t>
            </w:r>
            <w:r>
              <w:rPr>
                <w:rFonts w:hint="eastAsia" w:ascii="宋体" w:hAnsi="宋体" w:cs="宋体"/>
                <w:color w:val="000000"/>
                <w:kern w:val="0"/>
                <w:sz w:val="20"/>
                <w:szCs w:val="20"/>
                <w:lang w:eastAsia="zh-CN"/>
              </w:rPr>
              <w:t>〔2021〕76号</w:t>
            </w:r>
            <w:r>
              <w:rPr>
                <w:rFonts w:hint="eastAsia" w:ascii="宋体" w:hAnsi="宋体" w:cs="宋体"/>
                <w:color w:val="000000"/>
                <w:kern w:val="0"/>
                <w:sz w:val="20"/>
                <w:szCs w:val="20"/>
              </w:rPr>
              <w:t>文件要求，计划使用基层机构补助资金5万元，用于木垒县域内文化下乡演出各项经费支出，参加昌吉州新疆曲子</w:t>
            </w:r>
            <w:r>
              <w:rPr>
                <w:rFonts w:hint="eastAsia" w:ascii="宋体" w:hAnsi="宋体" w:cs="宋体"/>
                <w:color w:val="000000"/>
                <w:kern w:val="0"/>
                <w:sz w:val="20"/>
                <w:szCs w:val="20"/>
                <w:lang w:eastAsia="zh-CN"/>
              </w:rPr>
              <w:t>会演</w:t>
            </w:r>
            <w:r>
              <w:rPr>
                <w:rFonts w:hint="eastAsia" w:ascii="宋体" w:hAnsi="宋体" w:cs="宋体"/>
                <w:color w:val="000000"/>
                <w:kern w:val="0"/>
                <w:sz w:val="20"/>
                <w:szCs w:val="20"/>
              </w:rPr>
              <w:t>和各县观摩</w:t>
            </w:r>
            <w:r>
              <w:rPr>
                <w:rFonts w:hint="eastAsia" w:ascii="宋体" w:hAnsi="宋体" w:cs="宋体"/>
                <w:color w:val="000000"/>
                <w:kern w:val="0"/>
                <w:sz w:val="20"/>
                <w:szCs w:val="20"/>
                <w:lang w:eastAsia="zh-CN"/>
              </w:rPr>
              <w:t>会演</w:t>
            </w:r>
            <w:r>
              <w:rPr>
                <w:rFonts w:hint="eastAsia" w:ascii="宋体" w:hAnsi="宋体" w:cs="宋体"/>
                <w:color w:val="000000"/>
                <w:kern w:val="0"/>
                <w:sz w:val="20"/>
                <w:szCs w:val="20"/>
              </w:rPr>
              <w:t>经费支出，丰富群众业余生活，传承新疆曲子文化。</w:t>
            </w:r>
          </w:p>
        </w:tc>
        <w:tc>
          <w:tcPr>
            <w:tcW w:w="2113" w:type="pct"/>
            <w:gridSpan w:val="6"/>
            <w:shd w:val="clear" w:color="auto" w:fill="auto"/>
          </w:tcPr>
          <w:p w14:paraId="077C68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截至本项目自评之日，我单位已完成如下工作：依据昌州财预</w:t>
            </w:r>
            <w:r>
              <w:rPr>
                <w:rFonts w:hint="eastAsia" w:ascii="宋体" w:hAnsi="宋体" w:cs="宋体"/>
                <w:color w:val="000000"/>
                <w:kern w:val="0"/>
                <w:sz w:val="20"/>
                <w:szCs w:val="20"/>
                <w:lang w:eastAsia="zh-CN"/>
              </w:rPr>
              <w:t>〔2021〕76号</w:t>
            </w:r>
            <w:r>
              <w:rPr>
                <w:rFonts w:hint="eastAsia" w:ascii="宋体" w:hAnsi="宋体" w:cs="宋体"/>
                <w:color w:val="000000"/>
                <w:kern w:val="0"/>
                <w:sz w:val="20"/>
                <w:szCs w:val="20"/>
              </w:rPr>
              <w:t>文件要求，已完成使用基层机构补助资金5万元，用于木垒县域内3次文化下乡演出各项经费支出，参加昌吉州新疆曲子</w:t>
            </w:r>
            <w:r>
              <w:rPr>
                <w:rFonts w:hint="eastAsia" w:ascii="宋体" w:hAnsi="宋体" w:cs="宋体"/>
                <w:color w:val="000000"/>
                <w:kern w:val="0"/>
                <w:sz w:val="20"/>
                <w:szCs w:val="20"/>
                <w:lang w:eastAsia="zh-CN"/>
              </w:rPr>
              <w:t>会演</w:t>
            </w:r>
            <w:r>
              <w:rPr>
                <w:rFonts w:hint="eastAsia" w:ascii="宋体" w:hAnsi="宋体" w:cs="宋体"/>
                <w:color w:val="000000"/>
                <w:kern w:val="0"/>
                <w:sz w:val="20"/>
                <w:szCs w:val="20"/>
              </w:rPr>
              <w:t>和各县观摩</w:t>
            </w:r>
            <w:r>
              <w:rPr>
                <w:rFonts w:hint="eastAsia" w:ascii="宋体" w:hAnsi="宋体" w:cs="宋体"/>
                <w:color w:val="000000"/>
                <w:kern w:val="0"/>
                <w:sz w:val="20"/>
                <w:szCs w:val="20"/>
                <w:lang w:eastAsia="zh-CN"/>
              </w:rPr>
              <w:t>会演</w:t>
            </w:r>
            <w:r>
              <w:rPr>
                <w:rFonts w:hint="eastAsia" w:ascii="宋体" w:hAnsi="宋体" w:cs="宋体"/>
                <w:color w:val="000000"/>
                <w:kern w:val="0"/>
                <w:sz w:val="20"/>
                <w:szCs w:val="20"/>
              </w:rPr>
              <w:t>2次的经费支出，丰富群众业余生活，传承新疆曲子文化。</w:t>
            </w:r>
          </w:p>
        </w:tc>
      </w:tr>
      <w:tr w14:paraId="75AC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52CAE93C">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4D627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02" w:type="pct"/>
            <w:vMerge w:val="restart"/>
            <w:shd w:val="clear" w:color="auto" w:fill="auto"/>
            <w:vAlign w:val="center"/>
          </w:tcPr>
          <w:p w14:paraId="55A4F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7" w:type="pct"/>
            <w:gridSpan w:val="2"/>
            <w:vMerge w:val="restart"/>
            <w:shd w:val="clear" w:color="auto" w:fill="auto"/>
            <w:vAlign w:val="center"/>
          </w:tcPr>
          <w:p w14:paraId="34028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shd w:val="clear" w:color="auto" w:fill="auto"/>
            <w:vAlign w:val="center"/>
          </w:tcPr>
          <w:p w14:paraId="5FA2E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6" w:type="pct"/>
            <w:vMerge w:val="restart"/>
            <w:shd w:val="clear" w:color="auto" w:fill="auto"/>
            <w:vAlign w:val="center"/>
          </w:tcPr>
          <w:p w14:paraId="076E5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pct"/>
            <w:vMerge w:val="restart"/>
            <w:shd w:val="clear" w:color="auto" w:fill="auto"/>
            <w:vAlign w:val="center"/>
          </w:tcPr>
          <w:p w14:paraId="2E7D1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2" w:type="pct"/>
            <w:gridSpan w:val="2"/>
            <w:vMerge w:val="restart"/>
            <w:shd w:val="clear" w:color="auto" w:fill="auto"/>
            <w:vAlign w:val="center"/>
          </w:tcPr>
          <w:p w14:paraId="1072D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shd w:val="clear" w:color="auto" w:fill="auto"/>
            <w:vAlign w:val="center"/>
          </w:tcPr>
          <w:p w14:paraId="213E7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CB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06173F45">
            <w:pPr>
              <w:widowControl/>
              <w:jc w:val="left"/>
              <w:rPr>
                <w:rFonts w:hint="eastAsia" w:ascii="宋体" w:hAnsi="宋体" w:cs="宋体"/>
                <w:color w:val="000000"/>
                <w:kern w:val="0"/>
                <w:sz w:val="20"/>
                <w:szCs w:val="20"/>
              </w:rPr>
            </w:pPr>
          </w:p>
        </w:tc>
        <w:tc>
          <w:tcPr>
            <w:tcW w:w="244" w:type="pct"/>
            <w:vMerge w:val="continue"/>
            <w:vAlign w:val="center"/>
          </w:tcPr>
          <w:p w14:paraId="44E2ED64">
            <w:pPr>
              <w:widowControl/>
              <w:jc w:val="left"/>
              <w:rPr>
                <w:rFonts w:hint="eastAsia" w:ascii="宋体" w:hAnsi="宋体" w:cs="宋体"/>
                <w:color w:val="000000"/>
                <w:kern w:val="0"/>
                <w:sz w:val="20"/>
                <w:szCs w:val="20"/>
              </w:rPr>
            </w:pPr>
          </w:p>
        </w:tc>
        <w:tc>
          <w:tcPr>
            <w:tcW w:w="502" w:type="pct"/>
            <w:vMerge w:val="continue"/>
            <w:vAlign w:val="center"/>
          </w:tcPr>
          <w:p w14:paraId="50B9FF6D">
            <w:pPr>
              <w:widowControl/>
              <w:jc w:val="left"/>
              <w:rPr>
                <w:rFonts w:hint="eastAsia" w:ascii="宋体" w:hAnsi="宋体" w:cs="宋体"/>
                <w:color w:val="000000"/>
                <w:kern w:val="0"/>
                <w:sz w:val="20"/>
                <w:szCs w:val="20"/>
              </w:rPr>
            </w:pPr>
          </w:p>
        </w:tc>
        <w:tc>
          <w:tcPr>
            <w:tcW w:w="1417" w:type="pct"/>
            <w:gridSpan w:val="2"/>
            <w:vMerge w:val="continue"/>
            <w:vAlign w:val="center"/>
          </w:tcPr>
          <w:p w14:paraId="0A88DA3C">
            <w:pPr>
              <w:widowControl/>
              <w:jc w:val="left"/>
              <w:rPr>
                <w:rFonts w:hint="eastAsia" w:ascii="宋体" w:hAnsi="宋体" w:cs="宋体"/>
                <w:color w:val="000000"/>
                <w:kern w:val="0"/>
                <w:sz w:val="20"/>
                <w:szCs w:val="20"/>
              </w:rPr>
            </w:pPr>
          </w:p>
        </w:tc>
        <w:tc>
          <w:tcPr>
            <w:tcW w:w="478" w:type="pct"/>
            <w:vMerge w:val="continue"/>
            <w:vAlign w:val="center"/>
          </w:tcPr>
          <w:p w14:paraId="3F28D6E9">
            <w:pPr>
              <w:widowControl/>
              <w:jc w:val="left"/>
              <w:rPr>
                <w:rFonts w:hint="eastAsia" w:ascii="宋体" w:hAnsi="宋体" w:cs="宋体"/>
                <w:color w:val="000000"/>
                <w:kern w:val="0"/>
                <w:sz w:val="20"/>
                <w:szCs w:val="20"/>
              </w:rPr>
            </w:pPr>
          </w:p>
        </w:tc>
        <w:tc>
          <w:tcPr>
            <w:tcW w:w="496" w:type="pct"/>
            <w:vMerge w:val="continue"/>
            <w:vAlign w:val="center"/>
          </w:tcPr>
          <w:p w14:paraId="1CC97B71">
            <w:pPr>
              <w:widowControl/>
              <w:jc w:val="left"/>
              <w:rPr>
                <w:rFonts w:hint="eastAsia" w:ascii="宋体" w:hAnsi="宋体" w:cs="宋体"/>
                <w:color w:val="000000"/>
                <w:kern w:val="0"/>
                <w:sz w:val="20"/>
                <w:szCs w:val="20"/>
              </w:rPr>
            </w:pPr>
          </w:p>
        </w:tc>
        <w:tc>
          <w:tcPr>
            <w:tcW w:w="562" w:type="pct"/>
            <w:vMerge w:val="continue"/>
            <w:vAlign w:val="center"/>
          </w:tcPr>
          <w:p w14:paraId="78916CDF">
            <w:pPr>
              <w:widowControl/>
              <w:jc w:val="left"/>
              <w:rPr>
                <w:rFonts w:hint="eastAsia" w:ascii="宋体" w:hAnsi="宋体" w:cs="宋体"/>
                <w:color w:val="000000"/>
                <w:kern w:val="0"/>
                <w:sz w:val="20"/>
                <w:szCs w:val="20"/>
              </w:rPr>
            </w:pPr>
          </w:p>
        </w:tc>
        <w:tc>
          <w:tcPr>
            <w:tcW w:w="332" w:type="pct"/>
            <w:gridSpan w:val="2"/>
            <w:vMerge w:val="continue"/>
            <w:vAlign w:val="center"/>
          </w:tcPr>
          <w:p w14:paraId="7E0AAA82">
            <w:pPr>
              <w:widowControl/>
              <w:jc w:val="left"/>
              <w:rPr>
                <w:rFonts w:hint="eastAsia" w:ascii="宋体" w:hAnsi="宋体" w:cs="宋体"/>
                <w:color w:val="000000"/>
                <w:kern w:val="0"/>
                <w:sz w:val="20"/>
                <w:szCs w:val="20"/>
              </w:rPr>
            </w:pPr>
          </w:p>
        </w:tc>
        <w:tc>
          <w:tcPr>
            <w:tcW w:w="722" w:type="pct"/>
            <w:gridSpan w:val="2"/>
            <w:vMerge w:val="continue"/>
            <w:vAlign w:val="center"/>
          </w:tcPr>
          <w:p w14:paraId="7A3C3509">
            <w:pPr>
              <w:widowControl/>
              <w:jc w:val="left"/>
              <w:rPr>
                <w:rFonts w:hint="eastAsia" w:ascii="宋体" w:hAnsi="宋体" w:cs="宋体"/>
                <w:color w:val="000000"/>
                <w:kern w:val="0"/>
                <w:sz w:val="20"/>
                <w:szCs w:val="20"/>
              </w:rPr>
            </w:pPr>
          </w:p>
        </w:tc>
      </w:tr>
      <w:tr w14:paraId="2BE0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04C18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0FE89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02" w:type="pct"/>
            <w:shd w:val="clear" w:color="auto" w:fill="auto"/>
            <w:vAlign w:val="center"/>
          </w:tcPr>
          <w:p w14:paraId="68311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pct"/>
            <w:gridSpan w:val="2"/>
            <w:shd w:val="clear" w:color="auto" w:fill="auto"/>
            <w:noWrap/>
            <w:vAlign w:val="center"/>
          </w:tcPr>
          <w:p w14:paraId="3E77E7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县域内送文化下乡演出</w:t>
            </w:r>
          </w:p>
        </w:tc>
        <w:tc>
          <w:tcPr>
            <w:tcW w:w="478" w:type="pct"/>
            <w:shd w:val="clear" w:color="auto" w:fill="auto"/>
            <w:vAlign w:val="center"/>
          </w:tcPr>
          <w:p w14:paraId="1903C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&gt;=3场</w:t>
            </w:r>
          </w:p>
        </w:tc>
        <w:tc>
          <w:tcPr>
            <w:tcW w:w="496" w:type="pct"/>
            <w:shd w:val="clear" w:color="auto" w:fill="auto"/>
            <w:vAlign w:val="center"/>
          </w:tcPr>
          <w:p w14:paraId="40165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=3场</w:t>
            </w:r>
          </w:p>
        </w:tc>
        <w:tc>
          <w:tcPr>
            <w:tcW w:w="562" w:type="pct"/>
            <w:shd w:val="clear" w:color="auto" w:fill="auto"/>
            <w:vAlign w:val="center"/>
          </w:tcPr>
          <w:p w14:paraId="34E65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2" w:type="pct"/>
            <w:gridSpan w:val="2"/>
            <w:shd w:val="clear" w:color="auto" w:fill="auto"/>
            <w:vAlign w:val="center"/>
          </w:tcPr>
          <w:p w14:paraId="04938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pct"/>
            <w:gridSpan w:val="2"/>
            <w:shd w:val="clear" w:color="auto" w:fill="auto"/>
            <w:vAlign w:val="center"/>
          </w:tcPr>
          <w:p w14:paraId="29C95577">
            <w:pPr>
              <w:widowControl/>
              <w:jc w:val="center"/>
              <w:rPr>
                <w:rFonts w:hint="eastAsia" w:ascii="宋体" w:hAnsi="宋体" w:cs="宋体"/>
                <w:color w:val="000000"/>
                <w:kern w:val="0"/>
                <w:sz w:val="20"/>
                <w:szCs w:val="20"/>
              </w:rPr>
            </w:pPr>
          </w:p>
        </w:tc>
      </w:tr>
      <w:tr w14:paraId="7604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D1B8137">
            <w:pPr>
              <w:widowControl/>
              <w:jc w:val="left"/>
              <w:rPr>
                <w:rFonts w:hint="eastAsia" w:ascii="宋体" w:hAnsi="宋体" w:cs="宋体"/>
                <w:color w:val="000000"/>
                <w:kern w:val="0"/>
                <w:sz w:val="20"/>
                <w:szCs w:val="20"/>
              </w:rPr>
            </w:pPr>
          </w:p>
        </w:tc>
        <w:tc>
          <w:tcPr>
            <w:tcW w:w="244" w:type="pct"/>
            <w:vMerge w:val="continue"/>
            <w:vAlign w:val="center"/>
          </w:tcPr>
          <w:p w14:paraId="0339030F">
            <w:pPr>
              <w:widowControl/>
              <w:jc w:val="left"/>
              <w:rPr>
                <w:rFonts w:hint="eastAsia" w:ascii="宋体" w:hAnsi="宋体" w:cs="宋体"/>
                <w:color w:val="000000"/>
                <w:kern w:val="0"/>
                <w:sz w:val="20"/>
                <w:szCs w:val="20"/>
              </w:rPr>
            </w:pPr>
          </w:p>
        </w:tc>
        <w:tc>
          <w:tcPr>
            <w:tcW w:w="502" w:type="pct"/>
            <w:shd w:val="clear" w:color="auto" w:fill="auto"/>
            <w:vAlign w:val="center"/>
          </w:tcPr>
          <w:p w14:paraId="3D371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pct"/>
            <w:gridSpan w:val="2"/>
            <w:shd w:val="clear" w:color="auto" w:fill="auto"/>
            <w:noWrap/>
            <w:vAlign w:val="center"/>
          </w:tcPr>
          <w:p w14:paraId="053C66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昌吉州</w:t>
            </w:r>
            <w:r>
              <w:rPr>
                <w:rFonts w:hint="eastAsia" w:ascii="宋体" w:hAnsi="宋体" w:cs="宋体"/>
                <w:color w:val="000000"/>
                <w:kern w:val="0"/>
                <w:sz w:val="20"/>
                <w:szCs w:val="20"/>
                <w:lang w:eastAsia="zh-CN"/>
              </w:rPr>
              <w:t>会演</w:t>
            </w:r>
            <w:r>
              <w:rPr>
                <w:rFonts w:hint="eastAsia" w:ascii="宋体" w:hAnsi="宋体" w:cs="宋体"/>
                <w:color w:val="000000"/>
                <w:kern w:val="0"/>
                <w:sz w:val="20"/>
                <w:szCs w:val="20"/>
              </w:rPr>
              <w:t>场次</w:t>
            </w:r>
          </w:p>
        </w:tc>
        <w:tc>
          <w:tcPr>
            <w:tcW w:w="478" w:type="pct"/>
            <w:shd w:val="clear" w:color="auto" w:fill="auto"/>
            <w:vAlign w:val="center"/>
          </w:tcPr>
          <w:p w14:paraId="7947B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&gt;=1场</w:t>
            </w:r>
          </w:p>
        </w:tc>
        <w:tc>
          <w:tcPr>
            <w:tcW w:w="496" w:type="pct"/>
            <w:shd w:val="clear" w:color="auto" w:fill="auto"/>
            <w:vAlign w:val="center"/>
          </w:tcPr>
          <w:p w14:paraId="4E66F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562" w:type="pct"/>
            <w:shd w:val="clear" w:color="auto" w:fill="auto"/>
            <w:vAlign w:val="center"/>
          </w:tcPr>
          <w:p w14:paraId="5FF37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2" w:type="pct"/>
            <w:gridSpan w:val="2"/>
            <w:shd w:val="clear" w:color="auto" w:fill="auto"/>
            <w:vAlign w:val="center"/>
          </w:tcPr>
          <w:p w14:paraId="1A525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pct"/>
            <w:gridSpan w:val="2"/>
            <w:shd w:val="clear" w:color="auto" w:fill="auto"/>
            <w:vAlign w:val="center"/>
          </w:tcPr>
          <w:p w14:paraId="64ADAE4D">
            <w:pPr>
              <w:widowControl/>
              <w:jc w:val="center"/>
              <w:rPr>
                <w:rFonts w:hint="eastAsia" w:ascii="宋体" w:hAnsi="宋体" w:cs="宋体"/>
                <w:color w:val="000000"/>
                <w:kern w:val="0"/>
                <w:sz w:val="20"/>
                <w:szCs w:val="20"/>
              </w:rPr>
            </w:pPr>
          </w:p>
        </w:tc>
      </w:tr>
      <w:tr w14:paraId="15CF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DD4C0F6">
            <w:pPr>
              <w:widowControl/>
              <w:jc w:val="left"/>
              <w:rPr>
                <w:rFonts w:hint="eastAsia" w:ascii="宋体" w:hAnsi="宋体" w:cs="宋体"/>
                <w:color w:val="000000"/>
                <w:kern w:val="0"/>
                <w:sz w:val="20"/>
                <w:szCs w:val="20"/>
              </w:rPr>
            </w:pPr>
          </w:p>
        </w:tc>
        <w:tc>
          <w:tcPr>
            <w:tcW w:w="244" w:type="pct"/>
            <w:vMerge w:val="continue"/>
            <w:vAlign w:val="center"/>
          </w:tcPr>
          <w:p w14:paraId="55FB799A">
            <w:pPr>
              <w:widowControl/>
              <w:jc w:val="left"/>
              <w:rPr>
                <w:rFonts w:hint="eastAsia" w:ascii="宋体" w:hAnsi="宋体" w:cs="宋体"/>
                <w:color w:val="000000"/>
                <w:kern w:val="0"/>
                <w:sz w:val="20"/>
                <w:szCs w:val="20"/>
              </w:rPr>
            </w:pPr>
          </w:p>
        </w:tc>
        <w:tc>
          <w:tcPr>
            <w:tcW w:w="502" w:type="pct"/>
            <w:shd w:val="clear" w:color="auto" w:fill="auto"/>
            <w:vAlign w:val="center"/>
          </w:tcPr>
          <w:p w14:paraId="2B74F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pct"/>
            <w:gridSpan w:val="2"/>
            <w:shd w:val="clear" w:color="auto" w:fill="auto"/>
            <w:noWrap/>
            <w:vAlign w:val="center"/>
          </w:tcPr>
          <w:p w14:paraId="419F82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各县观摩</w:t>
            </w:r>
            <w:r>
              <w:rPr>
                <w:rFonts w:hint="eastAsia" w:ascii="宋体" w:hAnsi="宋体" w:cs="宋体"/>
                <w:color w:val="000000"/>
                <w:kern w:val="0"/>
                <w:sz w:val="20"/>
                <w:szCs w:val="20"/>
                <w:lang w:eastAsia="zh-CN"/>
              </w:rPr>
              <w:t>会演</w:t>
            </w:r>
            <w:r>
              <w:rPr>
                <w:rFonts w:hint="eastAsia" w:ascii="宋体" w:hAnsi="宋体" w:cs="宋体"/>
                <w:color w:val="000000"/>
                <w:kern w:val="0"/>
                <w:sz w:val="20"/>
                <w:szCs w:val="20"/>
              </w:rPr>
              <w:t>场次</w:t>
            </w:r>
          </w:p>
        </w:tc>
        <w:tc>
          <w:tcPr>
            <w:tcW w:w="478" w:type="pct"/>
            <w:shd w:val="clear" w:color="auto" w:fill="auto"/>
            <w:vAlign w:val="center"/>
          </w:tcPr>
          <w:p w14:paraId="1F70F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&gt;=2场</w:t>
            </w:r>
          </w:p>
        </w:tc>
        <w:tc>
          <w:tcPr>
            <w:tcW w:w="496" w:type="pct"/>
            <w:shd w:val="clear" w:color="auto" w:fill="auto"/>
            <w:vAlign w:val="center"/>
          </w:tcPr>
          <w:p w14:paraId="4CD1D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=2场</w:t>
            </w:r>
          </w:p>
        </w:tc>
        <w:tc>
          <w:tcPr>
            <w:tcW w:w="562" w:type="pct"/>
            <w:shd w:val="clear" w:color="auto" w:fill="auto"/>
            <w:vAlign w:val="center"/>
          </w:tcPr>
          <w:p w14:paraId="2A829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2" w:type="pct"/>
            <w:gridSpan w:val="2"/>
            <w:shd w:val="clear" w:color="auto" w:fill="auto"/>
            <w:vAlign w:val="center"/>
          </w:tcPr>
          <w:p w14:paraId="6F5DC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pct"/>
            <w:gridSpan w:val="2"/>
            <w:shd w:val="clear" w:color="auto" w:fill="auto"/>
            <w:vAlign w:val="center"/>
          </w:tcPr>
          <w:p w14:paraId="7ACFED4A">
            <w:pPr>
              <w:widowControl/>
              <w:jc w:val="center"/>
              <w:rPr>
                <w:rFonts w:hint="eastAsia" w:ascii="宋体" w:hAnsi="宋体" w:cs="宋体"/>
                <w:color w:val="000000"/>
                <w:kern w:val="0"/>
                <w:sz w:val="20"/>
                <w:szCs w:val="20"/>
              </w:rPr>
            </w:pPr>
          </w:p>
        </w:tc>
      </w:tr>
      <w:tr w14:paraId="375E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82F90D8">
            <w:pPr>
              <w:widowControl/>
              <w:jc w:val="left"/>
              <w:rPr>
                <w:rFonts w:hint="eastAsia" w:ascii="宋体" w:hAnsi="宋体" w:cs="宋体"/>
                <w:color w:val="000000"/>
                <w:kern w:val="0"/>
                <w:sz w:val="20"/>
                <w:szCs w:val="20"/>
              </w:rPr>
            </w:pPr>
          </w:p>
        </w:tc>
        <w:tc>
          <w:tcPr>
            <w:tcW w:w="244" w:type="pct"/>
            <w:vMerge w:val="continue"/>
            <w:vAlign w:val="center"/>
          </w:tcPr>
          <w:p w14:paraId="63D47EA4">
            <w:pPr>
              <w:widowControl/>
              <w:jc w:val="left"/>
              <w:rPr>
                <w:rFonts w:hint="eastAsia" w:ascii="宋体" w:hAnsi="宋体" w:cs="宋体"/>
                <w:color w:val="000000"/>
                <w:kern w:val="0"/>
                <w:sz w:val="20"/>
                <w:szCs w:val="20"/>
              </w:rPr>
            </w:pPr>
          </w:p>
        </w:tc>
        <w:tc>
          <w:tcPr>
            <w:tcW w:w="502" w:type="pct"/>
            <w:shd w:val="clear" w:color="auto" w:fill="auto"/>
            <w:vAlign w:val="center"/>
          </w:tcPr>
          <w:p w14:paraId="6A0B4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7" w:type="pct"/>
            <w:gridSpan w:val="2"/>
            <w:shd w:val="clear" w:color="auto" w:fill="auto"/>
            <w:noWrap/>
            <w:vAlign w:val="center"/>
          </w:tcPr>
          <w:p w14:paraId="4CCB8A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购置演出戏服数量</w:t>
            </w:r>
          </w:p>
        </w:tc>
        <w:tc>
          <w:tcPr>
            <w:tcW w:w="478" w:type="pct"/>
            <w:shd w:val="clear" w:color="auto" w:fill="auto"/>
            <w:vAlign w:val="center"/>
          </w:tcPr>
          <w:p w14:paraId="377A3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&gt;=15套</w:t>
            </w:r>
          </w:p>
        </w:tc>
        <w:tc>
          <w:tcPr>
            <w:tcW w:w="496" w:type="pct"/>
            <w:shd w:val="clear" w:color="auto" w:fill="auto"/>
            <w:vAlign w:val="center"/>
          </w:tcPr>
          <w:p w14:paraId="6602D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=15套</w:t>
            </w:r>
          </w:p>
        </w:tc>
        <w:tc>
          <w:tcPr>
            <w:tcW w:w="562" w:type="pct"/>
            <w:shd w:val="clear" w:color="auto" w:fill="auto"/>
            <w:vAlign w:val="center"/>
          </w:tcPr>
          <w:p w14:paraId="16627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2" w:type="pct"/>
            <w:gridSpan w:val="2"/>
            <w:shd w:val="clear" w:color="auto" w:fill="auto"/>
            <w:vAlign w:val="center"/>
          </w:tcPr>
          <w:p w14:paraId="59EAB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pct"/>
            <w:gridSpan w:val="2"/>
            <w:shd w:val="clear" w:color="auto" w:fill="auto"/>
            <w:vAlign w:val="center"/>
          </w:tcPr>
          <w:p w14:paraId="1C0999CF">
            <w:pPr>
              <w:widowControl/>
              <w:jc w:val="center"/>
              <w:rPr>
                <w:rFonts w:hint="eastAsia" w:ascii="宋体" w:hAnsi="宋体" w:cs="宋体"/>
                <w:color w:val="000000"/>
                <w:kern w:val="0"/>
                <w:sz w:val="20"/>
                <w:szCs w:val="20"/>
              </w:rPr>
            </w:pPr>
          </w:p>
        </w:tc>
      </w:tr>
      <w:tr w14:paraId="7243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9B6C1EC">
            <w:pPr>
              <w:widowControl/>
              <w:jc w:val="left"/>
              <w:rPr>
                <w:rFonts w:hint="eastAsia" w:ascii="宋体" w:hAnsi="宋体" w:cs="宋体"/>
                <w:color w:val="000000"/>
                <w:kern w:val="0"/>
                <w:sz w:val="20"/>
                <w:szCs w:val="20"/>
              </w:rPr>
            </w:pPr>
          </w:p>
        </w:tc>
        <w:tc>
          <w:tcPr>
            <w:tcW w:w="244" w:type="pct"/>
            <w:vMerge w:val="continue"/>
            <w:vAlign w:val="center"/>
          </w:tcPr>
          <w:p w14:paraId="333A5673">
            <w:pPr>
              <w:widowControl/>
              <w:jc w:val="left"/>
              <w:rPr>
                <w:rFonts w:hint="eastAsia" w:ascii="宋体" w:hAnsi="宋体" w:cs="宋体"/>
                <w:color w:val="000000"/>
                <w:kern w:val="0"/>
                <w:sz w:val="20"/>
                <w:szCs w:val="20"/>
              </w:rPr>
            </w:pPr>
          </w:p>
        </w:tc>
        <w:tc>
          <w:tcPr>
            <w:tcW w:w="502" w:type="pct"/>
            <w:shd w:val="clear" w:color="auto" w:fill="auto"/>
            <w:vAlign w:val="center"/>
          </w:tcPr>
          <w:p w14:paraId="60133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7" w:type="pct"/>
            <w:gridSpan w:val="2"/>
            <w:shd w:val="clear" w:color="auto" w:fill="auto"/>
            <w:noWrap/>
            <w:vAlign w:val="center"/>
          </w:tcPr>
          <w:p w14:paraId="5C9ED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演出举办成功率</w:t>
            </w:r>
          </w:p>
        </w:tc>
        <w:tc>
          <w:tcPr>
            <w:tcW w:w="478" w:type="pct"/>
            <w:shd w:val="clear" w:color="auto" w:fill="auto"/>
            <w:vAlign w:val="center"/>
          </w:tcPr>
          <w:p w14:paraId="54008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6" w:type="pct"/>
            <w:shd w:val="clear" w:color="auto" w:fill="auto"/>
            <w:vAlign w:val="center"/>
          </w:tcPr>
          <w:p w14:paraId="348F8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pct"/>
            <w:shd w:val="clear" w:color="auto" w:fill="auto"/>
            <w:vAlign w:val="center"/>
          </w:tcPr>
          <w:p w14:paraId="015EB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2AA27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36DA5D8B">
            <w:pPr>
              <w:widowControl/>
              <w:jc w:val="center"/>
              <w:rPr>
                <w:rFonts w:hint="eastAsia" w:ascii="宋体" w:hAnsi="宋体" w:cs="宋体"/>
                <w:color w:val="000000"/>
                <w:kern w:val="0"/>
                <w:sz w:val="20"/>
                <w:szCs w:val="20"/>
              </w:rPr>
            </w:pPr>
          </w:p>
        </w:tc>
      </w:tr>
      <w:tr w14:paraId="0AAD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1921C74">
            <w:pPr>
              <w:widowControl/>
              <w:jc w:val="left"/>
              <w:rPr>
                <w:rFonts w:hint="eastAsia" w:ascii="宋体" w:hAnsi="宋体" w:cs="宋体"/>
                <w:color w:val="000000"/>
                <w:kern w:val="0"/>
                <w:sz w:val="20"/>
                <w:szCs w:val="20"/>
              </w:rPr>
            </w:pPr>
          </w:p>
        </w:tc>
        <w:tc>
          <w:tcPr>
            <w:tcW w:w="244" w:type="pct"/>
            <w:vMerge w:val="continue"/>
            <w:vAlign w:val="center"/>
          </w:tcPr>
          <w:p w14:paraId="7D5A43B6">
            <w:pPr>
              <w:widowControl/>
              <w:jc w:val="left"/>
              <w:rPr>
                <w:rFonts w:hint="eastAsia" w:ascii="宋体" w:hAnsi="宋体" w:cs="宋体"/>
                <w:color w:val="000000"/>
                <w:kern w:val="0"/>
                <w:sz w:val="20"/>
                <w:szCs w:val="20"/>
              </w:rPr>
            </w:pPr>
          </w:p>
        </w:tc>
        <w:tc>
          <w:tcPr>
            <w:tcW w:w="502" w:type="pct"/>
            <w:shd w:val="clear" w:color="auto" w:fill="auto"/>
            <w:vAlign w:val="center"/>
          </w:tcPr>
          <w:p w14:paraId="0AE49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7" w:type="pct"/>
            <w:gridSpan w:val="2"/>
            <w:shd w:val="clear" w:color="auto" w:fill="auto"/>
            <w:noWrap/>
            <w:vAlign w:val="center"/>
          </w:tcPr>
          <w:p w14:paraId="7EB94D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演出按时完成率</w:t>
            </w:r>
          </w:p>
        </w:tc>
        <w:tc>
          <w:tcPr>
            <w:tcW w:w="478" w:type="pct"/>
            <w:shd w:val="clear" w:color="auto" w:fill="auto"/>
            <w:vAlign w:val="center"/>
          </w:tcPr>
          <w:p w14:paraId="25CC7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6" w:type="pct"/>
            <w:shd w:val="clear" w:color="auto" w:fill="auto"/>
            <w:vAlign w:val="center"/>
          </w:tcPr>
          <w:p w14:paraId="304ED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pct"/>
            <w:shd w:val="clear" w:color="auto" w:fill="auto"/>
            <w:vAlign w:val="center"/>
          </w:tcPr>
          <w:p w14:paraId="5B4C6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1E1D5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66B3616E">
            <w:pPr>
              <w:widowControl/>
              <w:jc w:val="center"/>
              <w:rPr>
                <w:rFonts w:hint="eastAsia" w:ascii="宋体" w:hAnsi="宋体" w:cs="宋体"/>
                <w:color w:val="000000"/>
                <w:kern w:val="0"/>
                <w:sz w:val="20"/>
                <w:szCs w:val="20"/>
              </w:rPr>
            </w:pPr>
          </w:p>
        </w:tc>
      </w:tr>
      <w:tr w14:paraId="7B79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3666BCC">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4B423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02" w:type="pct"/>
            <w:shd w:val="clear" w:color="auto" w:fill="auto"/>
            <w:vAlign w:val="center"/>
          </w:tcPr>
          <w:p w14:paraId="463A0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7" w:type="pct"/>
            <w:gridSpan w:val="2"/>
            <w:shd w:val="clear" w:color="auto" w:fill="auto"/>
            <w:noWrap/>
            <w:vAlign w:val="center"/>
          </w:tcPr>
          <w:p w14:paraId="3A401E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活动支出</w:t>
            </w:r>
          </w:p>
        </w:tc>
        <w:tc>
          <w:tcPr>
            <w:tcW w:w="478" w:type="pct"/>
            <w:shd w:val="clear" w:color="auto" w:fill="auto"/>
            <w:vAlign w:val="center"/>
          </w:tcPr>
          <w:p w14:paraId="48D2F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&lt;=3.50万元</w:t>
            </w:r>
          </w:p>
        </w:tc>
        <w:tc>
          <w:tcPr>
            <w:tcW w:w="496" w:type="pct"/>
            <w:shd w:val="clear" w:color="auto" w:fill="auto"/>
            <w:vAlign w:val="center"/>
          </w:tcPr>
          <w:p w14:paraId="5FD81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=3.5万元</w:t>
            </w:r>
          </w:p>
        </w:tc>
        <w:tc>
          <w:tcPr>
            <w:tcW w:w="562" w:type="pct"/>
            <w:shd w:val="clear" w:color="auto" w:fill="auto"/>
            <w:vAlign w:val="center"/>
          </w:tcPr>
          <w:p w14:paraId="01153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268E2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3578EF1B">
            <w:pPr>
              <w:widowControl/>
              <w:jc w:val="center"/>
              <w:rPr>
                <w:rFonts w:hint="eastAsia" w:ascii="宋体" w:hAnsi="宋体" w:cs="宋体"/>
                <w:color w:val="000000"/>
                <w:kern w:val="0"/>
                <w:sz w:val="20"/>
                <w:szCs w:val="20"/>
              </w:rPr>
            </w:pPr>
          </w:p>
        </w:tc>
      </w:tr>
      <w:tr w14:paraId="59B74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395C928">
            <w:pPr>
              <w:widowControl/>
              <w:jc w:val="left"/>
              <w:rPr>
                <w:rFonts w:hint="eastAsia" w:ascii="宋体" w:hAnsi="宋体" w:cs="宋体"/>
                <w:color w:val="000000"/>
                <w:kern w:val="0"/>
                <w:sz w:val="20"/>
                <w:szCs w:val="20"/>
              </w:rPr>
            </w:pPr>
          </w:p>
        </w:tc>
        <w:tc>
          <w:tcPr>
            <w:tcW w:w="244" w:type="pct"/>
            <w:vMerge w:val="continue"/>
            <w:vAlign w:val="center"/>
          </w:tcPr>
          <w:p w14:paraId="2452C000">
            <w:pPr>
              <w:widowControl/>
              <w:jc w:val="left"/>
              <w:rPr>
                <w:rFonts w:hint="eastAsia" w:ascii="宋体" w:hAnsi="宋体" w:cs="宋体"/>
                <w:color w:val="000000"/>
                <w:kern w:val="0"/>
                <w:sz w:val="20"/>
                <w:szCs w:val="20"/>
              </w:rPr>
            </w:pPr>
          </w:p>
        </w:tc>
        <w:tc>
          <w:tcPr>
            <w:tcW w:w="502" w:type="pct"/>
            <w:shd w:val="clear" w:color="auto" w:fill="auto"/>
            <w:vAlign w:val="center"/>
          </w:tcPr>
          <w:p w14:paraId="159C8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7" w:type="pct"/>
            <w:gridSpan w:val="2"/>
            <w:shd w:val="clear" w:color="auto" w:fill="auto"/>
            <w:noWrap/>
            <w:vAlign w:val="center"/>
          </w:tcPr>
          <w:p w14:paraId="31625A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演出服购置费</w:t>
            </w:r>
          </w:p>
        </w:tc>
        <w:tc>
          <w:tcPr>
            <w:tcW w:w="478" w:type="pct"/>
            <w:shd w:val="clear" w:color="auto" w:fill="auto"/>
            <w:vAlign w:val="center"/>
          </w:tcPr>
          <w:p w14:paraId="252FF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=1.50万元</w:t>
            </w:r>
          </w:p>
        </w:tc>
        <w:tc>
          <w:tcPr>
            <w:tcW w:w="496" w:type="pct"/>
            <w:shd w:val="clear" w:color="auto" w:fill="auto"/>
            <w:vAlign w:val="center"/>
          </w:tcPr>
          <w:p w14:paraId="3C227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562" w:type="pct"/>
            <w:shd w:val="clear" w:color="auto" w:fill="auto"/>
            <w:vAlign w:val="center"/>
          </w:tcPr>
          <w:p w14:paraId="11A03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4A5C9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5D8BDD57">
            <w:pPr>
              <w:widowControl/>
              <w:jc w:val="center"/>
              <w:rPr>
                <w:rFonts w:hint="eastAsia" w:ascii="宋体" w:hAnsi="宋体" w:cs="宋体"/>
                <w:color w:val="000000"/>
                <w:kern w:val="0"/>
                <w:sz w:val="20"/>
                <w:szCs w:val="20"/>
              </w:rPr>
            </w:pPr>
          </w:p>
        </w:tc>
      </w:tr>
      <w:tr w14:paraId="4B46A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67F6033">
            <w:pPr>
              <w:widowControl/>
              <w:jc w:val="left"/>
              <w:rPr>
                <w:rFonts w:hint="eastAsia" w:ascii="宋体" w:hAnsi="宋体" w:cs="宋体"/>
                <w:color w:val="000000"/>
                <w:kern w:val="0"/>
                <w:sz w:val="20"/>
                <w:szCs w:val="20"/>
              </w:rPr>
            </w:pPr>
          </w:p>
        </w:tc>
        <w:tc>
          <w:tcPr>
            <w:tcW w:w="244" w:type="pct"/>
            <w:vMerge w:val="continue"/>
            <w:vAlign w:val="center"/>
          </w:tcPr>
          <w:p w14:paraId="0F9A70A7">
            <w:pPr>
              <w:widowControl/>
              <w:jc w:val="left"/>
              <w:rPr>
                <w:rFonts w:hint="eastAsia" w:ascii="宋体" w:hAnsi="宋体" w:cs="宋体"/>
                <w:color w:val="000000"/>
                <w:kern w:val="0"/>
                <w:sz w:val="20"/>
                <w:szCs w:val="20"/>
              </w:rPr>
            </w:pPr>
          </w:p>
        </w:tc>
        <w:tc>
          <w:tcPr>
            <w:tcW w:w="502" w:type="pct"/>
            <w:shd w:val="clear" w:color="auto" w:fill="auto"/>
            <w:vAlign w:val="center"/>
          </w:tcPr>
          <w:p w14:paraId="32E06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7" w:type="pct"/>
            <w:gridSpan w:val="2"/>
            <w:shd w:val="clear" w:color="auto" w:fill="auto"/>
            <w:noWrap/>
            <w:vAlign w:val="center"/>
          </w:tcPr>
          <w:p w14:paraId="66F5D7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提升新疆曲子文化传播度</w:t>
            </w:r>
          </w:p>
        </w:tc>
        <w:tc>
          <w:tcPr>
            <w:tcW w:w="478" w:type="pct"/>
            <w:shd w:val="clear" w:color="auto" w:fill="auto"/>
            <w:vAlign w:val="center"/>
          </w:tcPr>
          <w:p w14:paraId="00675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大力提升</w:t>
            </w:r>
          </w:p>
        </w:tc>
        <w:tc>
          <w:tcPr>
            <w:tcW w:w="496" w:type="pct"/>
            <w:shd w:val="clear" w:color="auto" w:fill="auto"/>
            <w:vAlign w:val="center"/>
          </w:tcPr>
          <w:p w14:paraId="18ACC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大力提升</w:t>
            </w:r>
          </w:p>
        </w:tc>
        <w:tc>
          <w:tcPr>
            <w:tcW w:w="562" w:type="pct"/>
            <w:shd w:val="clear" w:color="auto" w:fill="auto"/>
            <w:vAlign w:val="center"/>
          </w:tcPr>
          <w:p w14:paraId="368EF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2" w:type="pct"/>
            <w:gridSpan w:val="2"/>
            <w:shd w:val="clear" w:color="auto" w:fill="auto"/>
            <w:vAlign w:val="center"/>
          </w:tcPr>
          <w:p w14:paraId="25961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09E5ADBC">
            <w:pPr>
              <w:widowControl/>
              <w:jc w:val="center"/>
              <w:rPr>
                <w:rFonts w:hint="eastAsia" w:ascii="宋体" w:hAnsi="宋体" w:cs="宋体"/>
                <w:color w:val="000000"/>
                <w:kern w:val="0"/>
                <w:sz w:val="20"/>
                <w:szCs w:val="20"/>
              </w:rPr>
            </w:pPr>
          </w:p>
        </w:tc>
      </w:tr>
      <w:tr w14:paraId="2DDA6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41215AD">
            <w:pPr>
              <w:widowControl/>
              <w:jc w:val="left"/>
              <w:rPr>
                <w:rFonts w:hint="eastAsia" w:ascii="宋体" w:hAnsi="宋体" w:cs="宋体"/>
                <w:color w:val="000000"/>
                <w:kern w:val="0"/>
                <w:sz w:val="20"/>
                <w:szCs w:val="20"/>
              </w:rPr>
            </w:pPr>
          </w:p>
        </w:tc>
        <w:tc>
          <w:tcPr>
            <w:tcW w:w="244" w:type="pct"/>
            <w:shd w:val="clear" w:color="auto" w:fill="auto"/>
            <w:vAlign w:val="center"/>
          </w:tcPr>
          <w:p w14:paraId="24D67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02" w:type="pct"/>
            <w:shd w:val="clear" w:color="auto" w:fill="auto"/>
            <w:vAlign w:val="center"/>
          </w:tcPr>
          <w:p w14:paraId="52D87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7" w:type="pct"/>
            <w:gridSpan w:val="2"/>
            <w:shd w:val="clear" w:color="auto" w:fill="auto"/>
            <w:noWrap/>
            <w:vAlign w:val="center"/>
          </w:tcPr>
          <w:p w14:paraId="56A58D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观众满意度</w:t>
            </w:r>
          </w:p>
        </w:tc>
        <w:tc>
          <w:tcPr>
            <w:tcW w:w="478" w:type="pct"/>
            <w:shd w:val="clear" w:color="auto" w:fill="auto"/>
            <w:vAlign w:val="center"/>
          </w:tcPr>
          <w:p w14:paraId="2834E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96" w:type="pct"/>
            <w:shd w:val="clear" w:color="auto" w:fill="auto"/>
            <w:vAlign w:val="center"/>
          </w:tcPr>
          <w:p w14:paraId="11D33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2" w:type="pct"/>
            <w:shd w:val="clear" w:color="auto" w:fill="auto"/>
            <w:vAlign w:val="center"/>
          </w:tcPr>
          <w:p w14:paraId="6F19B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499A4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3F3D4DB2">
            <w:pPr>
              <w:widowControl/>
              <w:jc w:val="center"/>
              <w:rPr>
                <w:rFonts w:hint="eastAsia" w:ascii="宋体" w:hAnsi="宋体" w:cs="宋体"/>
                <w:color w:val="000000"/>
                <w:kern w:val="0"/>
                <w:sz w:val="20"/>
                <w:szCs w:val="20"/>
              </w:rPr>
            </w:pPr>
          </w:p>
        </w:tc>
      </w:tr>
      <w:tr w14:paraId="34B1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83" w:type="pct"/>
            <w:gridSpan w:val="7"/>
            <w:shd w:val="clear" w:color="auto" w:fill="auto"/>
            <w:vAlign w:val="center"/>
          </w:tcPr>
          <w:p w14:paraId="2F88C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pct"/>
            <w:shd w:val="clear" w:color="auto" w:fill="auto"/>
            <w:vAlign w:val="center"/>
          </w:tcPr>
          <w:p w14:paraId="2DBA1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2" w:type="pct"/>
            <w:gridSpan w:val="2"/>
            <w:shd w:val="clear" w:color="auto" w:fill="auto"/>
            <w:vAlign w:val="center"/>
          </w:tcPr>
          <w:p w14:paraId="568ED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shd w:val="clear" w:color="auto" w:fill="auto"/>
            <w:vAlign w:val="center"/>
          </w:tcPr>
          <w:p w14:paraId="41F02466">
            <w:pPr>
              <w:widowControl/>
              <w:jc w:val="center"/>
              <w:rPr>
                <w:rFonts w:hint="eastAsia" w:ascii="宋体" w:hAnsi="宋体" w:cs="宋体"/>
                <w:color w:val="000000"/>
                <w:kern w:val="0"/>
                <w:sz w:val="20"/>
                <w:szCs w:val="20"/>
              </w:rPr>
            </w:pPr>
          </w:p>
        </w:tc>
      </w:tr>
    </w:tbl>
    <w:p w14:paraId="0A6EE514">
      <w:pPr>
        <w:ind w:firstLine="640" w:firstLineChars="200"/>
        <w:jc w:val="left"/>
        <w:rPr>
          <w:rFonts w:hint="eastAsia" w:ascii="黑体" w:hAnsi="黑体" w:eastAsia="黑体" w:cs="宋体"/>
          <w:bCs/>
          <w:kern w:val="0"/>
          <w:sz w:val="32"/>
          <w:szCs w:val="32"/>
        </w:rPr>
      </w:pPr>
    </w:p>
    <w:p w14:paraId="5B56E64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FCD7D4D">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94CB355">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E88C5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002498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2CAF6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F5DFED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40615C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87E82C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86C068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342402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A4085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2E0A1D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EAE64D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3605A8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27D207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535D28">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A299EE7">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9C1AF73">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1674BD13">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78643C4">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14E28315">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0CB7E0A">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9AF356D">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41A170BD">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696EC9D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A422C5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7AD2E99">
      <w:pPr>
        <w:ind w:firstLine="640" w:firstLineChars="200"/>
        <w:rPr>
          <w:rFonts w:ascii="仿宋_GB2312" w:eastAsia="仿宋_GB2312"/>
          <w:sz w:val="32"/>
          <w:szCs w:val="32"/>
        </w:rPr>
      </w:pPr>
    </w:p>
    <w:p w14:paraId="09E1879D">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30B7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0F1F13">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10F1F13">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757E34"/>
    <w:rsid w:val="0000694D"/>
    <w:rsid w:val="0001705D"/>
    <w:rsid w:val="00071EB2"/>
    <w:rsid w:val="000B28DB"/>
    <w:rsid w:val="00213C59"/>
    <w:rsid w:val="003210CE"/>
    <w:rsid w:val="00361C6A"/>
    <w:rsid w:val="00370624"/>
    <w:rsid w:val="003D1BFA"/>
    <w:rsid w:val="00491198"/>
    <w:rsid w:val="004A5B1C"/>
    <w:rsid w:val="004D5756"/>
    <w:rsid w:val="005730E9"/>
    <w:rsid w:val="005E2003"/>
    <w:rsid w:val="006D09DA"/>
    <w:rsid w:val="00757E34"/>
    <w:rsid w:val="009020D1"/>
    <w:rsid w:val="00936D71"/>
    <w:rsid w:val="00B36179"/>
    <w:rsid w:val="00B70D59"/>
    <w:rsid w:val="00B85422"/>
    <w:rsid w:val="00B9449A"/>
    <w:rsid w:val="00C63FE3"/>
    <w:rsid w:val="00D156FC"/>
    <w:rsid w:val="00D92680"/>
    <w:rsid w:val="00DA2D64"/>
    <w:rsid w:val="00DF49EE"/>
    <w:rsid w:val="00F14C01"/>
    <w:rsid w:val="00F52A8D"/>
    <w:rsid w:val="00F76450"/>
    <w:rsid w:val="00F849AC"/>
    <w:rsid w:val="00FB3F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04649E"/>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6364FB"/>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5534</Words>
  <Characters>6265</Characters>
  <Lines>67</Lines>
  <Paragraphs>18</Paragraphs>
  <TotalTime>7</TotalTime>
  <ScaleCrop>false</ScaleCrop>
  <LinksUpToDate>false</LinksUpToDate>
  <CharactersWithSpaces>6340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2024-12-05T10:05:29Z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